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55C0451C" w:rsidR="00C27E78" w:rsidRDefault="009C4B8F" w:rsidP="00805BCC">
      <w:pPr>
        <w:jc w:val="cente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p>
    <w:p w14:paraId="14A20037" w14:textId="77777777" w:rsidR="002E775C" w:rsidRDefault="002E775C" w:rsidP="00411E77">
      <w:pPr>
        <w:jc w:val="center"/>
        <w:rPr>
          <w:rFonts w:ascii="Arial" w:hAnsi="Arial" w:cs="Arial"/>
          <w:b/>
          <w:bCs/>
          <w:sz w:val="22"/>
          <w:szCs w:val="22"/>
        </w:rPr>
      </w:pPr>
    </w:p>
    <w:p w14:paraId="040DEC47" w14:textId="77777777" w:rsidR="00BB62D9" w:rsidRDefault="00BB62D9" w:rsidP="00411E77">
      <w:pPr>
        <w:jc w:val="center"/>
        <w:rPr>
          <w:rFonts w:ascii="Arial" w:hAnsi="Arial" w:cs="Arial"/>
          <w:b/>
          <w:bCs/>
          <w:sz w:val="18"/>
          <w:szCs w:val="18"/>
          <w:u w:val="single"/>
        </w:rPr>
      </w:pPr>
    </w:p>
    <w:p w14:paraId="75F35539" w14:textId="77777777" w:rsidR="00BB62D9" w:rsidRDefault="00BB62D9" w:rsidP="00411E77">
      <w:pPr>
        <w:jc w:val="center"/>
        <w:rPr>
          <w:rFonts w:ascii="Arial" w:hAnsi="Arial" w:cs="Arial"/>
          <w:b/>
          <w:bCs/>
          <w:sz w:val="18"/>
          <w:szCs w:val="18"/>
          <w:u w:val="single"/>
        </w:rPr>
      </w:pPr>
    </w:p>
    <w:p w14:paraId="511CBDAA" w14:textId="77777777" w:rsidR="00BB62D9" w:rsidRDefault="00BB62D9" w:rsidP="00411E77">
      <w:pPr>
        <w:jc w:val="center"/>
        <w:rPr>
          <w:rFonts w:ascii="Arial" w:hAnsi="Arial" w:cs="Arial"/>
          <w:b/>
          <w:bCs/>
          <w:sz w:val="18"/>
          <w:szCs w:val="18"/>
          <w:u w:val="single"/>
        </w:rPr>
      </w:pPr>
    </w:p>
    <w:p w14:paraId="1380DF7D" w14:textId="77777777" w:rsidR="00BB62D9" w:rsidRDefault="00BB62D9" w:rsidP="00411E77">
      <w:pPr>
        <w:jc w:val="center"/>
        <w:rPr>
          <w:rFonts w:ascii="Arial" w:hAnsi="Arial" w:cs="Arial"/>
          <w:b/>
          <w:bCs/>
          <w:sz w:val="18"/>
          <w:szCs w:val="18"/>
          <w:u w:val="single"/>
        </w:rPr>
      </w:pPr>
    </w:p>
    <w:p w14:paraId="76F9350A" w14:textId="77777777" w:rsidR="00BB62D9" w:rsidRDefault="00BB62D9" w:rsidP="00411E77">
      <w:pPr>
        <w:jc w:val="center"/>
        <w:rPr>
          <w:rFonts w:ascii="Arial" w:hAnsi="Arial" w:cs="Arial"/>
          <w:b/>
          <w:bCs/>
          <w:sz w:val="18"/>
          <w:szCs w:val="18"/>
          <w:u w:val="single"/>
        </w:rPr>
      </w:pPr>
    </w:p>
    <w:p w14:paraId="02F1F34A" w14:textId="77777777" w:rsidR="00BB62D9" w:rsidRDefault="00BB62D9" w:rsidP="00411E77">
      <w:pPr>
        <w:jc w:val="center"/>
        <w:rPr>
          <w:rFonts w:ascii="Arial" w:hAnsi="Arial" w:cs="Arial"/>
          <w:b/>
          <w:bCs/>
          <w:sz w:val="18"/>
          <w:szCs w:val="18"/>
          <w:u w:val="single"/>
        </w:rPr>
      </w:pPr>
    </w:p>
    <w:p w14:paraId="55C5D16C" w14:textId="5174A530"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6C47D0CA">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0029B273" w:rsidR="00C31C3C" w:rsidRPr="00BB62D9" w:rsidRDefault="00BA3D57" w:rsidP="6C47D0CA">
            <w:pPr>
              <w:rPr>
                <w:rFonts w:ascii="Arial" w:eastAsia="Calibri" w:hAnsi="Arial" w:cs="Arial"/>
                <w:sz w:val="20"/>
                <w:szCs w:val="20"/>
              </w:rPr>
            </w:pPr>
            <w:r w:rsidRPr="00BB62D9">
              <w:rPr>
                <w:rFonts w:ascii="Arial" w:eastAsia="Calibri" w:hAnsi="Arial" w:cs="Arial"/>
                <w:sz w:val="18"/>
                <w:szCs w:val="18"/>
              </w:rPr>
              <w:t>Head of Data Insight</w:t>
            </w:r>
          </w:p>
        </w:tc>
      </w:tr>
      <w:tr w:rsidR="00C31C3C" w:rsidRPr="00805BCC" w14:paraId="562E83AE" w14:textId="77777777" w:rsidTr="6C47D0CA">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2E1B2000" w:rsidR="00C31C3C" w:rsidRPr="00BA3D57" w:rsidRDefault="00BA3D57" w:rsidP="004118C9">
            <w:pPr>
              <w:tabs>
                <w:tab w:val="left" w:pos="2552"/>
              </w:tabs>
              <w:rPr>
                <w:rFonts w:ascii="Arial" w:hAnsi="Arial" w:cs="Arial"/>
                <w:sz w:val="18"/>
                <w:szCs w:val="18"/>
              </w:rPr>
            </w:pPr>
            <w:r w:rsidRPr="00BA3D57">
              <w:rPr>
                <w:rFonts w:ascii="Arial" w:hAnsi="Arial" w:cs="Arial"/>
                <w:sz w:val="18"/>
                <w:szCs w:val="18"/>
              </w:rPr>
              <w:t>Strategic Development and Delivery</w:t>
            </w:r>
          </w:p>
        </w:tc>
      </w:tr>
      <w:tr w:rsidR="00C31C3C" w:rsidRPr="00805BCC" w14:paraId="5E71349B" w14:textId="77777777" w:rsidTr="6C47D0CA">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61A75A4B" w:rsidR="00C31C3C" w:rsidRPr="00BA3D57" w:rsidRDefault="00BA3D57" w:rsidP="004118C9">
            <w:pPr>
              <w:tabs>
                <w:tab w:val="left" w:pos="2552"/>
              </w:tabs>
              <w:rPr>
                <w:rFonts w:ascii="Arial" w:hAnsi="Arial" w:cs="Arial"/>
                <w:sz w:val="18"/>
                <w:szCs w:val="18"/>
              </w:rPr>
            </w:pPr>
            <w:r w:rsidRPr="00BA3D57">
              <w:rPr>
                <w:rFonts w:ascii="Arial" w:hAnsi="Arial" w:cs="Arial"/>
                <w:sz w:val="18"/>
                <w:szCs w:val="18"/>
              </w:rPr>
              <w:t>H</w:t>
            </w:r>
          </w:p>
        </w:tc>
      </w:tr>
      <w:tr w:rsidR="00C31C3C" w:rsidRPr="00805BCC" w14:paraId="2D868D69" w14:textId="77777777" w:rsidTr="6C47D0CA">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1CE7F99A" w:rsidR="00C31C3C" w:rsidRPr="00BA3D57" w:rsidRDefault="00BA3D57" w:rsidP="004118C9">
            <w:pPr>
              <w:tabs>
                <w:tab w:val="left" w:pos="2552"/>
              </w:tabs>
              <w:rPr>
                <w:rFonts w:ascii="Arial" w:hAnsi="Arial" w:cs="Arial"/>
                <w:sz w:val="18"/>
                <w:szCs w:val="18"/>
              </w:rPr>
            </w:pPr>
            <w:r w:rsidRPr="00BA3D57">
              <w:rPr>
                <w:rFonts w:ascii="Arial" w:hAnsi="Arial" w:cs="Arial"/>
                <w:sz w:val="18"/>
                <w:szCs w:val="18"/>
              </w:rPr>
              <w:t>Docklands/Hybrid</w:t>
            </w:r>
          </w:p>
        </w:tc>
      </w:tr>
      <w:tr w:rsidR="00C31C3C" w:rsidRPr="00805BCC" w14:paraId="0EBA7658" w14:textId="77777777" w:rsidTr="6C47D0CA">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50419B14" w:rsidR="00C31C3C" w:rsidRPr="00BA3D57" w:rsidRDefault="00BA3D57" w:rsidP="004118C9">
            <w:pPr>
              <w:tabs>
                <w:tab w:val="left" w:pos="2552"/>
              </w:tabs>
              <w:rPr>
                <w:rFonts w:ascii="Arial" w:hAnsi="Arial" w:cs="Arial"/>
                <w:sz w:val="18"/>
                <w:szCs w:val="18"/>
              </w:rPr>
            </w:pPr>
            <w:r w:rsidRPr="00BA3D57">
              <w:rPr>
                <w:rFonts w:ascii="Arial" w:hAnsi="Arial" w:cs="Arial"/>
                <w:sz w:val="18"/>
                <w:szCs w:val="18"/>
              </w:rPr>
              <w:t>Director of Business Intelligence</w:t>
            </w:r>
          </w:p>
        </w:tc>
      </w:tr>
      <w:tr w:rsidR="00C31C3C" w:rsidRPr="00805BCC" w14:paraId="0B9EF195" w14:textId="77777777" w:rsidTr="6C47D0CA">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5BD5262F" w:rsidR="00BA3D57" w:rsidRPr="00BA3D57" w:rsidRDefault="00BA3D57" w:rsidP="004118C9">
            <w:pPr>
              <w:tabs>
                <w:tab w:val="left" w:pos="2552"/>
              </w:tabs>
              <w:rPr>
                <w:rFonts w:ascii="Arial" w:hAnsi="Arial" w:cs="Arial"/>
                <w:sz w:val="18"/>
                <w:szCs w:val="18"/>
              </w:rPr>
            </w:pPr>
            <w:r w:rsidRPr="00BA3D57">
              <w:rPr>
                <w:rFonts w:ascii="Arial" w:hAnsi="Arial" w:cs="Arial"/>
                <w:sz w:val="18"/>
                <w:szCs w:val="18"/>
              </w:rPr>
              <w:t>Head of Data Product, Head of Planning and Performance, Data Governance &amp; Quality Officer, Associate Director (Technical), External Relations Directorate, Deans of Schools, Student Support, Careers &amp; Enterprise</w:t>
            </w:r>
          </w:p>
        </w:tc>
      </w:tr>
      <w:tr w:rsidR="00A03F9F" w:rsidRPr="00805BCC" w14:paraId="70512E24" w14:textId="77777777" w:rsidTr="6C47D0CA">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25E8141E" w:rsidR="00A03F9F" w:rsidRPr="00BA3D57" w:rsidRDefault="00E05940" w:rsidP="004118C9">
            <w:pPr>
              <w:tabs>
                <w:tab w:val="left" w:pos="2552"/>
              </w:tabs>
              <w:rPr>
                <w:rFonts w:ascii="Arial" w:hAnsi="Arial" w:cs="Arial"/>
                <w:sz w:val="18"/>
                <w:szCs w:val="18"/>
              </w:rPr>
            </w:pPr>
            <w:r>
              <w:rPr>
                <w:rFonts w:ascii="Arial" w:hAnsi="Arial" w:cs="Arial"/>
                <w:sz w:val="18"/>
                <w:szCs w:val="18"/>
              </w:rPr>
              <w:t>UCAS and Jisc</w:t>
            </w:r>
          </w:p>
        </w:tc>
      </w:tr>
      <w:tr w:rsidR="00C31C3C" w:rsidRPr="00805BCC" w14:paraId="70A4F64D" w14:textId="77777777" w:rsidTr="00BA3D57">
        <w:trPr>
          <w:trHeight w:val="70"/>
        </w:trPr>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1C936CF2" w:rsidR="00C31C3C" w:rsidRPr="00BA3D57" w:rsidRDefault="00BA3D57" w:rsidP="004118C9">
            <w:pPr>
              <w:tabs>
                <w:tab w:val="left" w:pos="2552"/>
              </w:tabs>
              <w:rPr>
                <w:rFonts w:ascii="Arial" w:hAnsi="Arial" w:cs="Arial"/>
                <w:sz w:val="18"/>
                <w:szCs w:val="18"/>
              </w:rPr>
            </w:pPr>
            <w:r w:rsidRPr="00BA3D57">
              <w:rPr>
                <w:rFonts w:ascii="Arial" w:hAnsi="Arial" w:cs="Arial"/>
                <w:sz w:val="18"/>
                <w:szCs w:val="18"/>
              </w:rPr>
              <w:t xml:space="preserve">Full time Permanent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A183293" w:rsidR="00623785" w:rsidRPr="00805BCC" w:rsidRDefault="00623785" w:rsidP="00623785">
      <w:pPr>
        <w:pStyle w:val="NoSpacing"/>
        <w:jc w:val="both"/>
        <w:rPr>
          <w:rStyle w:val="normaltextrun"/>
          <w:rFonts w:ascii="Arial" w:hAnsi="Arial" w:cs="Arial"/>
          <w:sz w:val="18"/>
          <w:szCs w:val="18"/>
        </w:rPr>
      </w:pPr>
      <w:r w:rsidRPr="591D0301">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7BDC07A1" w:rsidRPr="591D0301">
        <w:rPr>
          <w:rStyle w:val="normaltextrun"/>
          <w:rFonts w:ascii="Arial" w:hAnsi="Arial" w:cs="Arial"/>
          <w:sz w:val="18"/>
          <w:szCs w:val="18"/>
        </w:rPr>
        <w:t>7</w:t>
      </w:r>
      <w:r w:rsidRPr="591D0301">
        <w:rPr>
          <w:rStyle w:val="normaltextrun"/>
          <w:rFonts w:ascii="Arial" w:hAnsi="Arial" w:cs="Arial"/>
          <w:sz w:val="18"/>
          <w:szCs w:val="18"/>
        </w:rPr>
        <w:t xml:space="preserve"> of our </w:t>
      </w:r>
      <w:r w:rsidR="6801E20C" w:rsidRPr="591D0301">
        <w:rPr>
          <w:rStyle w:val="normaltextrun"/>
          <w:rFonts w:ascii="Arial" w:hAnsi="Arial" w:cs="Arial"/>
          <w:sz w:val="18"/>
          <w:szCs w:val="18"/>
        </w:rPr>
        <w:t>ground-breaking</w:t>
      </w:r>
      <w:r w:rsidRPr="591D0301">
        <w:rPr>
          <w:rStyle w:val="normaltextrun"/>
          <w:rFonts w:ascii="Arial" w:hAnsi="Arial" w:cs="Arial"/>
          <w:sz w:val="18"/>
          <w:szCs w:val="18"/>
        </w:rPr>
        <w:t xml:space="preserve"> </w:t>
      </w:r>
      <w:hyperlink r:id="rId11">
        <w:r w:rsidR="00702008" w:rsidRPr="591D0301">
          <w:rPr>
            <w:rStyle w:val="Hyperlink"/>
            <w:rFonts w:ascii="Arial" w:hAnsi="Arial" w:cs="Arial"/>
            <w:sz w:val="18"/>
            <w:szCs w:val="18"/>
          </w:rPr>
          <w:t>10-year Vision 2028 strategic plan</w:t>
        </w:r>
      </w:hyperlink>
      <w:r w:rsidRPr="591D0301">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5AC56760" w14:textId="77777777" w:rsidR="00B351D5" w:rsidRDefault="00B351D5" w:rsidP="002C4E4E">
      <w:pPr>
        <w:jc w:val="both"/>
        <w:rPr>
          <w:rFonts w:ascii="Arial" w:hAnsi="Arial" w:cs="Arial"/>
          <w:b/>
          <w:bCs/>
          <w:sz w:val="18"/>
          <w:szCs w:val="18"/>
        </w:rPr>
      </w:pPr>
    </w:p>
    <w:p w14:paraId="2ADF2CF0" w14:textId="1F471D2F" w:rsidR="007007EB" w:rsidRDefault="00372BEC" w:rsidP="002C4E4E">
      <w:pPr>
        <w:jc w:val="both"/>
        <w:rPr>
          <w:rFonts w:ascii="Arial" w:hAnsi="Arial" w:cs="Arial"/>
          <w:b/>
          <w:bC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9637F4">
        <w:rPr>
          <w:rFonts w:ascii="Arial" w:hAnsi="Arial" w:cs="Arial"/>
          <w:b/>
          <w:bCs/>
          <w:sz w:val="18"/>
          <w:szCs w:val="18"/>
        </w:rPr>
        <w:t>S</w:t>
      </w:r>
      <w:r w:rsidR="00474FD6">
        <w:rPr>
          <w:rFonts w:ascii="Arial" w:hAnsi="Arial" w:cs="Arial"/>
          <w:b/>
          <w:bCs/>
          <w:sz w:val="18"/>
          <w:szCs w:val="18"/>
        </w:rPr>
        <w:t>ERVICE</w:t>
      </w:r>
      <w:r w:rsidR="00BA3D57">
        <w:rPr>
          <w:rFonts w:ascii="Arial" w:hAnsi="Arial" w:cs="Arial"/>
          <w:b/>
          <w:bCs/>
          <w:sz w:val="18"/>
          <w:szCs w:val="18"/>
        </w:rPr>
        <w:t>:</w:t>
      </w:r>
      <w:r w:rsidR="009F6CFD">
        <w:rPr>
          <w:rFonts w:ascii="Arial" w:hAnsi="Arial" w:cs="Arial"/>
          <w:b/>
          <w:bCs/>
          <w:sz w:val="18"/>
          <w:szCs w:val="18"/>
        </w:rPr>
        <w:t xml:space="preserve"> </w:t>
      </w:r>
    </w:p>
    <w:p w14:paraId="069FFBB9" w14:textId="77777777" w:rsidR="00BA3D57" w:rsidRPr="00BA3D57" w:rsidRDefault="00BA3D57" w:rsidP="00BA3D57">
      <w:pPr>
        <w:jc w:val="both"/>
        <w:rPr>
          <w:rFonts w:ascii="Arial" w:hAnsi="Arial" w:cs="Arial"/>
          <w:b/>
          <w:bCs/>
          <w:sz w:val="18"/>
          <w:szCs w:val="18"/>
        </w:rPr>
      </w:pPr>
      <w:r w:rsidRPr="00BA3D57">
        <w:rPr>
          <w:rFonts w:ascii="Arial" w:hAnsi="Arial" w:cs="Arial"/>
          <w:b/>
          <w:bCs/>
          <w:sz w:val="18"/>
          <w:szCs w:val="18"/>
        </w:rPr>
        <w:t> </w:t>
      </w:r>
    </w:p>
    <w:p w14:paraId="428897A3" w14:textId="77777777" w:rsidR="00BA3D57" w:rsidRPr="00BA3D57" w:rsidRDefault="00BA3D57" w:rsidP="00BA3D57">
      <w:pPr>
        <w:jc w:val="both"/>
        <w:rPr>
          <w:rFonts w:ascii="Arial" w:hAnsi="Arial" w:cs="Arial"/>
          <w:sz w:val="18"/>
          <w:szCs w:val="18"/>
        </w:rPr>
      </w:pPr>
      <w:r w:rsidRPr="00BA3D57">
        <w:rPr>
          <w:rFonts w:ascii="Arial" w:hAnsi="Arial" w:cs="Arial"/>
          <w:sz w:val="18"/>
          <w:szCs w:val="18"/>
        </w:rPr>
        <w:t xml:space="preserve">The Strategic Development &amp; Delivery team works in partnership with stakeholders across the institution, combining our specialist expertise, sector knowledge and institutional awareness to support the delivery of our vision to 2028 and beyond.  This is a new Directorate for UEL and comprises of four main </w:t>
      </w:r>
      <w:proofErr w:type="gramStart"/>
      <w:r w:rsidRPr="00BA3D57">
        <w:rPr>
          <w:rFonts w:ascii="Arial" w:hAnsi="Arial" w:cs="Arial"/>
          <w:sz w:val="18"/>
          <w:szCs w:val="18"/>
        </w:rPr>
        <w:t>portfolios;</w:t>
      </w:r>
      <w:proofErr w:type="gramEnd"/>
      <w:r w:rsidRPr="00BA3D57">
        <w:rPr>
          <w:rFonts w:ascii="Arial" w:hAnsi="Arial" w:cs="Arial"/>
          <w:sz w:val="18"/>
          <w:szCs w:val="18"/>
        </w:rPr>
        <w:t>   </w:t>
      </w:r>
    </w:p>
    <w:p w14:paraId="0D2E213C" w14:textId="77777777" w:rsidR="00BA3D57" w:rsidRPr="00BA3D57" w:rsidRDefault="00BA3D57" w:rsidP="00BA3D57">
      <w:pPr>
        <w:numPr>
          <w:ilvl w:val="0"/>
          <w:numId w:val="19"/>
        </w:numPr>
        <w:jc w:val="both"/>
        <w:rPr>
          <w:rFonts w:ascii="Arial" w:hAnsi="Arial" w:cs="Arial"/>
          <w:sz w:val="18"/>
          <w:szCs w:val="18"/>
        </w:rPr>
      </w:pPr>
      <w:r w:rsidRPr="00BA3D57">
        <w:rPr>
          <w:rFonts w:ascii="Arial" w:hAnsi="Arial" w:cs="Arial"/>
          <w:sz w:val="18"/>
          <w:szCs w:val="18"/>
        </w:rPr>
        <w:t>Insights &amp; Decision Support,  </w:t>
      </w:r>
    </w:p>
    <w:p w14:paraId="3DBDA62E" w14:textId="77777777" w:rsidR="00BA3D57" w:rsidRPr="00BA3D57" w:rsidRDefault="00BA3D57" w:rsidP="00BA3D57">
      <w:pPr>
        <w:numPr>
          <w:ilvl w:val="0"/>
          <w:numId w:val="20"/>
        </w:numPr>
        <w:jc w:val="both"/>
        <w:rPr>
          <w:rFonts w:ascii="Arial" w:hAnsi="Arial" w:cs="Arial"/>
          <w:sz w:val="18"/>
          <w:szCs w:val="18"/>
        </w:rPr>
      </w:pPr>
      <w:r w:rsidRPr="00BA3D57">
        <w:rPr>
          <w:rFonts w:ascii="Arial" w:hAnsi="Arial" w:cs="Arial"/>
          <w:sz w:val="18"/>
          <w:szCs w:val="18"/>
        </w:rPr>
        <w:t>Strategy &amp; Performance,  </w:t>
      </w:r>
    </w:p>
    <w:p w14:paraId="2F9D1312" w14:textId="77777777" w:rsidR="00BA3D57" w:rsidRPr="00BA3D57" w:rsidRDefault="00BA3D57" w:rsidP="00BA3D57">
      <w:pPr>
        <w:numPr>
          <w:ilvl w:val="0"/>
          <w:numId w:val="21"/>
        </w:numPr>
        <w:jc w:val="both"/>
        <w:rPr>
          <w:rFonts w:ascii="Arial" w:hAnsi="Arial" w:cs="Arial"/>
          <w:sz w:val="18"/>
          <w:szCs w:val="18"/>
        </w:rPr>
      </w:pPr>
      <w:r w:rsidRPr="00BA3D57">
        <w:rPr>
          <w:rFonts w:ascii="Arial" w:hAnsi="Arial" w:cs="Arial"/>
          <w:sz w:val="18"/>
          <w:szCs w:val="18"/>
        </w:rPr>
        <w:t>Portfolio &amp; Benefits, and  </w:t>
      </w:r>
    </w:p>
    <w:p w14:paraId="37F163A5" w14:textId="77777777" w:rsidR="00BA3D57" w:rsidRPr="00BA3D57" w:rsidRDefault="00BA3D57" w:rsidP="00BA3D57">
      <w:pPr>
        <w:numPr>
          <w:ilvl w:val="0"/>
          <w:numId w:val="22"/>
        </w:numPr>
        <w:jc w:val="both"/>
        <w:rPr>
          <w:rFonts w:ascii="Arial" w:hAnsi="Arial" w:cs="Arial"/>
          <w:sz w:val="18"/>
          <w:szCs w:val="18"/>
        </w:rPr>
      </w:pPr>
      <w:r w:rsidRPr="00BA3D57">
        <w:rPr>
          <w:rFonts w:ascii="Arial" w:hAnsi="Arial" w:cs="Arial"/>
          <w:sz w:val="18"/>
          <w:szCs w:val="18"/>
        </w:rPr>
        <w:t>Change &amp; Improvement.   </w:t>
      </w:r>
    </w:p>
    <w:p w14:paraId="42887D12" w14:textId="77777777" w:rsidR="00BA3D57" w:rsidRPr="00BA3D57" w:rsidRDefault="00BA3D57" w:rsidP="00BA3D57">
      <w:pPr>
        <w:jc w:val="both"/>
        <w:rPr>
          <w:rFonts w:ascii="Arial" w:hAnsi="Arial" w:cs="Arial"/>
          <w:sz w:val="18"/>
          <w:szCs w:val="18"/>
        </w:rPr>
      </w:pPr>
      <w:r w:rsidRPr="00BA3D57">
        <w:rPr>
          <w:rFonts w:ascii="Arial" w:hAnsi="Arial" w:cs="Arial"/>
          <w:sz w:val="18"/>
          <w:szCs w:val="18"/>
        </w:rPr>
        <w:t> </w:t>
      </w:r>
    </w:p>
    <w:p w14:paraId="0932E400" w14:textId="77777777" w:rsidR="00BA3D57" w:rsidRPr="00BA3D57" w:rsidRDefault="00BA3D57" w:rsidP="00BA3D57">
      <w:pPr>
        <w:jc w:val="both"/>
        <w:rPr>
          <w:rFonts w:ascii="Arial" w:hAnsi="Arial" w:cs="Arial"/>
          <w:sz w:val="18"/>
          <w:szCs w:val="18"/>
        </w:rPr>
      </w:pPr>
      <w:r w:rsidRPr="00BA3D57">
        <w:rPr>
          <w:rFonts w:ascii="Arial" w:hAnsi="Arial" w:cs="Arial"/>
          <w:sz w:val="18"/>
          <w:szCs w:val="18"/>
        </w:rPr>
        <w:t>These four service areas will facilitate effective decision making, improve our staff and student experience, and deliver lasting positive change </w:t>
      </w:r>
    </w:p>
    <w:p w14:paraId="4B13B861" w14:textId="77777777" w:rsidR="00B351D5" w:rsidRDefault="00B351D5" w:rsidP="007007EB">
      <w:pPr>
        <w:jc w:val="both"/>
        <w:rPr>
          <w:rFonts w:ascii="Arial" w:hAnsi="Arial" w:cs="Arial"/>
          <w:b/>
          <w:sz w:val="18"/>
          <w:szCs w:val="18"/>
        </w:rPr>
      </w:pPr>
    </w:p>
    <w:p w14:paraId="21F7AB86" w14:textId="1EB83F03"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0C0B8108" w14:textId="77777777" w:rsidR="00BA3D57" w:rsidRPr="00805BCC" w:rsidRDefault="00BA3D57" w:rsidP="007007EB">
      <w:pPr>
        <w:jc w:val="both"/>
        <w:rPr>
          <w:rFonts w:ascii="Arial" w:hAnsi="Arial" w:cs="Arial"/>
          <w:b/>
          <w:sz w:val="18"/>
          <w:szCs w:val="18"/>
        </w:rPr>
      </w:pPr>
    </w:p>
    <w:p w14:paraId="2FDAE298" w14:textId="77777777" w:rsidR="00BA3D57" w:rsidRPr="00BA3D57" w:rsidRDefault="00BA3D57" w:rsidP="00BA3D57">
      <w:pPr>
        <w:pStyle w:val="ListParagraph"/>
        <w:ind w:left="0"/>
        <w:rPr>
          <w:rFonts w:ascii="Arial" w:hAnsi="Arial" w:cs="Arial"/>
          <w:b/>
          <w:bCs/>
          <w:sz w:val="18"/>
          <w:szCs w:val="18"/>
          <w:u w:val="single"/>
        </w:rPr>
      </w:pPr>
      <w:r w:rsidRPr="00BA3D57">
        <w:rPr>
          <w:rFonts w:ascii="Arial" w:hAnsi="Arial" w:cs="Arial"/>
          <w:sz w:val="18"/>
          <w:szCs w:val="18"/>
        </w:rPr>
        <w:t xml:space="preserve">The Head of Data Insight provides strategic leadership to UEL’s data and insight capability, ensuring the university has timely, trusted and actionable insight to underpin decision-making and deliver Vision 2028.  The role is responsible for shaping how insight is produced, interpreted and used across the university, supporting confident planning, performance and resource conversations.  By bringing together multiple sources of data with context and narrative, the role drives greater maturity in the use of evidence, promotes consistency and best </w:t>
      </w:r>
      <w:r w:rsidRPr="00BA3D57">
        <w:rPr>
          <w:rFonts w:ascii="Arial" w:hAnsi="Arial" w:cs="Arial"/>
          <w:sz w:val="18"/>
          <w:szCs w:val="18"/>
        </w:rPr>
        <w:lastRenderedPageBreak/>
        <w:t>practice, and builds confidence in a single version of the truth. The postholder ensures insight activity focuses on impact, enabling leaders to understand performance and take informed action.</w:t>
      </w:r>
    </w:p>
    <w:p w14:paraId="4F3EDB7C" w14:textId="77777777" w:rsidR="00E05940" w:rsidRDefault="00E05940" w:rsidP="007007EB">
      <w:pPr>
        <w:jc w:val="both"/>
        <w:rPr>
          <w:rFonts w:ascii="Arial" w:hAnsi="Arial" w:cs="Arial"/>
          <w:b/>
          <w:sz w:val="18"/>
          <w:szCs w:val="18"/>
        </w:rPr>
      </w:pPr>
    </w:p>
    <w:p w14:paraId="782E5F0E" w14:textId="0C23AA09"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64CE3DDB" w14:textId="77777777" w:rsidR="00BA3D57" w:rsidRPr="00BA3D57" w:rsidRDefault="00BA3D57" w:rsidP="00BA3D57">
      <w:pPr>
        <w:pStyle w:val="ListParagraph"/>
        <w:ind w:left="0"/>
        <w:rPr>
          <w:rFonts w:ascii="Arial" w:hAnsi="Arial" w:cs="Arial"/>
          <w:sz w:val="18"/>
          <w:szCs w:val="18"/>
        </w:rPr>
      </w:pPr>
      <w:r w:rsidRPr="00BA3D57">
        <w:rPr>
          <w:rFonts w:ascii="Arial" w:hAnsi="Arial" w:cs="Arial"/>
          <w:b/>
          <w:bCs/>
          <w:sz w:val="18"/>
          <w:szCs w:val="18"/>
          <w:u w:val="single"/>
        </w:rPr>
        <w:t xml:space="preserve">Key activities </w:t>
      </w:r>
    </w:p>
    <w:p w14:paraId="5727F8F6"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Lead the Data Insight function, setting clear direction and priorities to ensure insight activity is aligned to university strategy, business needs and Vision 2028.</w:t>
      </w:r>
    </w:p>
    <w:p w14:paraId="3386DF9E"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Shape and deliver a high-quality insight service that provides clear, consistent and trusted reporting, interpretation and narrative to support planning, performance and decision-making.</w:t>
      </w:r>
    </w:p>
    <w:p w14:paraId="583D799A" w14:textId="77777777" w:rsidR="00BA3D57" w:rsidRPr="00BA3D57" w:rsidRDefault="00BA3D57" w:rsidP="00BA3D57">
      <w:pPr>
        <w:rPr>
          <w:rFonts w:ascii="Arial" w:hAnsi="Arial" w:cs="Arial"/>
          <w:sz w:val="18"/>
          <w:szCs w:val="18"/>
        </w:rPr>
      </w:pPr>
      <w:r w:rsidRPr="00BA3D57">
        <w:rPr>
          <w:rFonts w:ascii="Arial" w:hAnsi="Arial" w:cs="Arial"/>
          <w:b/>
          <w:bCs/>
          <w:sz w:val="18"/>
          <w:szCs w:val="18"/>
          <w:u w:val="single"/>
        </w:rPr>
        <w:t>Key activities continued</w:t>
      </w:r>
    </w:p>
    <w:p w14:paraId="496EF48B"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Act as the primary interface between the university and the wider BI function for insight requirements, ensuring business questions are well-defined, prioritised and translated into clear technical requirements where needed.</w:t>
      </w:r>
    </w:p>
    <w:p w14:paraId="40A84C0B"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Oversee the effective use of internal and external data sources, combining institutional data with sector intelligence (including UCAS and HESA) to provide meaningful context and benchmarking.</w:t>
      </w:r>
    </w:p>
    <w:p w14:paraId="137A09C8"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Ensure the quality and ongoing relevance of key insight dashboards, including market-facing dashboards and those supporting regulatory, equality and outcomes-focused activity (e.g. REC, APP, Athena SWAN, Degree Outcomes).</w:t>
      </w:r>
    </w:p>
    <w:p w14:paraId="4BD5F195"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Champion consistent definitions, standards and best practice in the use of data and insight, promoting confidence in a single version of the truth across the institution.</w:t>
      </w:r>
    </w:p>
    <w:p w14:paraId="69A1B63F"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Build insight capability and confidence across the organisation through coaching, guidance and engagement, enabling stakeholders to use insight effectively and independently.</w:t>
      </w:r>
    </w:p>
    <w:p w14:paraId="7BD975E9"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Contribute to the ongoing development and delivery of the university’s data strategy, ensuring insight capabilities, skills and ways of working continue to mature and remain fit for the future.</w:t>
      </w:r>
    </w:p>
    <w:p w14:paraId="608D627B" w14:textId="77777777" w:rsidR="00BA3D57" w:rsidRPr="00BA3D57" w:rsidRDefault="00BA3D57" w:rsidP="00BA3D57">
      <w:pPr>
        <w:rPr>
          <w:rFonts w:ascii="Arial" w:hAnsi="Arial" w:cs="Arial"/>
          <w:b/>
          <w:bCs/>
          <w:sz w:val="18"/>
          <w:szCs w:val="18"/>
          <w:u w:val="single"/>
        </w:rPr>
      </w:pPr>
      <w:r w:rsidRPr="00BA3D57">
        <w:rPr>
          <w:rFonts w:ascii="Arial" w:hAnsi="Arial" w:cs="Arial"/>
          <w:b/>
          <w:bCs/>
          <w:sz w:val="18"/>
          <w:szCs w:val="18"/>
          <w:u w:val="single"/>
        </w:rPr>
        <w:t xml:space="preserve">Key accountabilities </w:t>
      </w:r>
    </w:p>
    <w:p w14:paraId="2B07E5D2"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Ensure that senior leaders and key stakeholders have timely, trusted and relevant insight to inform decisions that support delivery of Vision 2028.</w:t>
      </w:r>
    </w:p>
    <w:p w14:paraId="69087AA9"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Clarity, consistency and usefulness of insight provided across the institution, enabling a shared understanding of performance and priorities.</w:t>
      </w:r>
    </w:p>
    <w:p w14:paraId="05568947"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Ensure stakeholders understand and make effective use of the insight services and products available, reducing duplication and increasing confidence in standard reporting.</w:t>
      </w:r>
    </w:p>
    <w:p w14:paraId="63DD2123"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Continuous improvement in the maturity of UEL’s insight capability, embedding best practice approaches that build trust, credibility and respect across the organisation.</w:t>
      </w:r>
    </w:p>
    <w:p w14:paraId="354D2C55"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Ensure that market intelligence, benchmarking and horizon scanning inform medium- and long-term planning, including the three-year business planning cycle.</w:t>
      </w:r>
    </w:p>
    <w:p w14:paraId="6CAA92F1"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Quality, governance and appropriate use of insight outputs, operating within agreed data governance frameworks and contributing to their ongoing development.</w:t>
      </w:r>
    </w:p>
    <w:p w14:paraId="66D40E20"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Identify and mitigate data and insight-related risks, ensuring that decisions are based on reliable evidence and that limitations, assumptions and uncertainty are clearly understood.</w:t>
      </w:r>
    </w:p>
    <w:p w14:paraId="702ED516"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Promote a culture of evidence-led decision-making.</w:t>
      </w:r>
    </w:p>
    <w:p w14:paraId="4FB1A9AC" w14:textId="77777777" w:rsidR="00BA3D57" w:rsidRPr="00BA3D57" w:rsidRDefault="00BA3D57" w:rsidP="00BA3D57">
      <w:pPr>
        <w:rPr>
          <w:rFonts w:ascii="Arial" w:hAnsi="Arial" w:cs="Arial"/>
          <w:b/>
          <w:bCs/>
          <w:sz w:val="18"/>
          <w:szCs w:val="18"/>
          <w:u w:val="single"/>
        </w:rPr>
      </w:pPr>
      <w:r w:rsidRPr="00BA3D57">
        <w:rPr>
          <w:rFonts w:ascii="Arial" w:hAnsi="Arial" w:cs="Arial"/>
          <w:b/>
          <w:bCs/>
          <w:sz w:val="18"/>
          <w:szCs w:val="18"/>
          <w:u w:val="single"/>
        </w:rPr>
        <w:t>Key deliverables</w:t>
      </w:r>
    </w:p>
    <w:p w14:paraId="6DC70EE9"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A clearly defined and embedded insight approach aligned to UEL’s strategy and Vision 2028, setting out how insight supports planning, performance and decision-making across the institution.</w:t>
      </w:r>
    </w:p>
    <w:p w14:paraId="08940246"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A trusted suite of strategic insight products that inform key business processes, including student number planning, confirmation and clearing, financial planning and performance review.</w:t>
      </w:r>
    </w:p>
    <w:p w14:paraId="3127F433"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Consistent, high-quality portfolio and performance insight that provides a shared view of progress, risks and opportunities for senior leaders and governance forums.</w:t>
      </w:r>
    </w:p>
    <w:p w14:paraId="64D007EA" w14:textId="77777777" w:rsidR="00BA3D57" w:rsidRPr="00BA3D57" w:rsidRDefault="00BA3D57" w:rsidP="00BA3D57">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Clear and effective ways of working between stakeholders, the Data Insight function and BI development, including agreed expectations around scope, prioritisation and turnaround.</w:t>
      </w:r>
    </w:p>
    <w:p w14:paraId="4D3A6622" w14:textId="38952198" w:rsidR="00E05940" w:rsidRPr="00E05940" w:rsidRDefault="00E05940" w:rsidP="00E05940">
      <w:pPr>
        <w:spacing w:after="160" w:line="259" w:lineRule="auto"/>
        <w:rPr>
          <w:rFonts w:ascii="Arial" w:eastAsia="Arial" w:hAnsi="Arial" w:cs="Arial"/>
          <w:sz w:val="18"/>
          <w:szCs w:val="18"/>
        </w:rPr>
      </w:pPr>
      <w:r w:rsidRPr="00E05940">
        <w:rPr>
          <w:rFonts w:ascii="Arial" w:hAnsi="Arial" w:cs="Arial"/>
          <w:b/>
          <w:bCs/>
          <w:sz w:val="18"/>
          <w:szCs w:val="18"/>
          <w:u w:val="single"/>
        </w:rPr>
        <w:t>Key deliverables</w:t>
      </w:r>
      <w:r w:rsidRPr="00E05940">
        <w:rPr>
          <w:rFonts w:ascii="Arial" w:eastAsia="Arial" w:hAnsi="Arial" w:cs="Arial"/>
          <w:b/>
          <w:bCs/>
          <w:sz w:val="18"/>
          <w:szCs w:val="18"/>
          <w:u w:val="single"/>
        </w:rPr>
        <w:t xml:space="preserve"> continued</w:t>
      </w:r>
    </w:p>
    <w:p w14:paraId="3A3A4C5B" w14:textId="600D8582" w:rsidR="00E05940" w:rsidRPr="00E05940" w:rsidRDefault="00E05940" w:rsidP="00E05940">
      <w:pPr>
        <w:pStyle w:val="ListParagraph"/>
        <w:numPr>
          <w:ilvl w:val="0"/>
          <w:numId w:val="23"/>
        </w:numPr>
        <w:spacing w:after="160" w:line="259" w:lineRule="auto"/>
        <w:rPr>
          <w:rFonts w:ascii="Arial" w:eastAsia="Arial" w:hAnsi="Arial" w:cs="Arial"/>
          <w:sz w:val="18"/>
          <w:szCs w:val="18"/>
        </w:rPr>
      </w:pPr>
      <w:r w:rsidRPr="00BA3D57">
        <w:rPr>
          <w:rFonts w:ascii="Arial" w:eastAsia="Arial" w:hAnsi="Arial" w:cs="Arial"/>
          <w:sz w:val="18"/>
          <w:szCs w:val="18"/>
        </w:rPr>
        <w:t>Optimised use of existing data assets and insight tools, with improved usability, consistency and confidence in a single version of the truth.</w:t>
      </w:r>
    </w:p>
    <w:p w14:paraId="0DFBAF8B" w14:textId="7D065F80" w:rsidR="002E775C" w:rsidRPr="008B2823" w:rsidRDefault="00BA3D57" w:rsidP="00AB665A">
      <w:pPr>
        <w:pStyle w:val="ListParagraph"/>
        <w:numPr>
          <w:ilvl w:val="0"/>
          <w:numId w:val="23"/>
        </w:numPr>
        <w:spacing w:after="160" w:line="259" w:lineRule="auto"/>
        <w:jc w:val="both"/>
        <w:rPr>
          <w:rFonts w:ascii="Arial" w:hAnsi="Arial" w:cs="Arial"/>
          <w:b/>
          <w:bCs/>
          <w:sz w:val="18"/>
          <w:szCs w:val="18"/>
        </w:rPr>
      </w:pPr>
      <w:r w:rsidRPr="008B2823">
        <w:rPr>
          <w:rFonts w:ascii="Arial" w:eastAsia="Arial" w:hAnsi="Arial" w:cs="Arial"/>
          <w:sz w:val="18"/>
          <w:szCs w:val="18"/>
        </w:rPr>
        <w:t>An active and sustainable data and insight community of practice, supporting capability-building, shared learning and continuous improvement in the use of insight across UEL.</w:t>
      </w:r>
    </w:p>
    <w:p w14:paraId="7908FB03" w14:textId="4BB1E375" w:rsidR="000D203F" w:rsidRPr="00805BCC" w:rsidRDefault="00C643A5" w:rsidP="3C0EE9EA">
      <w:pPr>
        <w:jc w:val="both"/>
        <w:rPr>
          <w:rFonts w:ascii="Arial" w:hAnsi="Arial" w:cs="Arial"/>
          <w:sz w:val="18"/>
          <w:szCs w:val="18"/>
        </w:rPr>
      </w:pPr>
      <w:r w:rsidRPr="00805BCC">
        <w:rPr>
          <w:rFonts w:ascii="Arial" w:hAnsi="Arial" w:cs="Arial"/>
          <w:sz w:val="18"/>
          <w:szCs w:val="18"/>
        </w:rPr>
        <w:lastRenderedPageBreak/>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BA3D57">
        <w:rPr>
          <w:rFonts w:ascii="Arial" w:hAnsi="Arial" w:cs="Arial"/>
          <w:sz w:val="18"/>
          <w:szCs w:val="18"/>
        </w:rPr>
        <w:t>Head of Insight</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4338CD27" w14:textId="77777777" w:rsidR="00E05940" w:rsidRDefault="00E05940"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62F5FB58" w14:textId="77777777" w:rsidR="00BA3D57" w:rsidRDefault="00BA3D57"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Default="00DF2FAD" w:rsidP="00DF2FAD">
      <w:pPr>
        <w:rPr>
          <w:rFonts w:ascii="Arial" w:hAnsi="Arial" w:cs="Arial"/>
          <w:sz w:val="18"/>
          <w:szCs w:val="18"/>
        </w:rPr>
      </w:pPr>
    </w:p>
    <w:p w14:paraId="19C87288" w14:textId="77777777" w:rsidR="00E05940" w:rsidRPr="00F07A25" w:rsidRDefault="00E05940"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6E7893EC" w14:textId="77777777" w:rsidR="00B910CA" w:rsidRDefault="00B910CA" w:rsidP="002E775C">
      <w:pPr>
        <w:jc w:val="center"/>
        <w:rPr>
          <w:rFonts w:ascii="Arial" w:hAnsi="Arial" w:cs="Arial"/>
          <w:b/>
          <w:bCs/>
          <w:sz w:val="18"/>
          <w:szCs w:val="18"/>
          <w:u w:val="single"/>
        </w:rPr>
      </w:pPr>
    </w:p>
    <w:tbl>
      <w:tblPr>
        <w:tblStyle w:val="PlainTable1"/>
        <w:tblW w:w="9209" w:type="dxa"/>
        <w:tblLook w:val="04A0" w:firstRow="1" w:lastRow="0" w:firstColumn="1" w:lastColumn="0" w:noHBand="0" w:noVBand="1"/>
      </w:tblPr>
      <w:tblGrid>
        <w:gridCol w:w="7225"/>
        <w:gridCol w:w="992"/>
        <w:gridCol w:w="992"/>
      </w:tblGrid>
      <w:tr w:rsidR="008B2823" w:rsidRPr="00B910CA" w14:paraId="0A152502" w14:textId="6A748823" w:rsidTr="008B2823">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7225" w:type="dxa"/>
          </w:tcPr>
          <w:p w14:paraId="44C9BF4B" w14:textId="11528F97" w:rsidR="008B2823" w:rsidRPr="00B910CA" w:rsidRDefault="008B2823" w:rsidP="007B74F5">
            <w:pPr>
              <w:rPr>
                <w:rFonts w:ascii="Arial" w:hAnsi="Arial" w:cs="Arial"/>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tc>
        <w:tc>
          <w:tcPr>
            <w:tcW w:w="992" w:type="dxa"/>
          </w:tcPr>
          <w:p w14:paraId="0ABC7405" w14:textId="77777777" w:rsidR="008B2823" w:rsidRPr="00B910CA" w:rsidRDefault="008B2823"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992" w:type="dxa"/>
          </w:tcPr>
          <w:p w14:paraId="7ABB9A23" w14:textId="77777777" w:rsidR="008B2823" w:rsidRPr="00B910CA" w:rsidRDefault="008B2823"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8B2823" w:rsidRPr="00B910CA" w14:paraId="250E5C1C" w14:textId="77777777" w:rsidTr="008B282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7225" w:type="dxa"/>
          </w:tcPr>
          <w:p w14:paraId="7C33D37E" w14:textId="07BE4870" w:rsidR="008B2823" w:rsidRPr="009852C7" w:rsidRDefault="008B2823" w:rsidP="00BA3D57">
            <w:pPr>
              <w:spacing w:line="259" w:lineRule="auto"/>
              <w:rPr>
                <w:rFonts w:ascii="Arial" w:hAnsi="Arial" w:cs="Arial"/>
                <w:b w:val="0"/>
                <w:bCs w:val="0"/>
                <w:sz w:val="18"/>
                <w:szCs w:val="18"/>
              </w:rPr>
            </w:pPr>
            <w:r w:rsidRPr="009852C7">
              <w:rPr>
                <w:rFonts w:ascii="Arial" w:hAnsi="Arial" w:cs="Arial"/>
                <w:b w:val="0"/>
                <w:bCs w:val="0"/>
                <w:sz w:val="18"/>
                <w:szCs w:val="18"/>
              </w:rPr>
              <w:t>Graduate calibre with degree or equivalent level of experience gained through professional experience</w:t>
            </w:r>
          </w:p>
          <w:p w14:paraId="10DF16F9" w14:textId="43D92381" w:rsidR="008B2823" w:rsidRPr="009852C7" w:rsidRDefault="008B2823" w:rsidP="00DA095F">
            <w:pPr>
              <w:rPr>
                <w:rFonts w:ascii="Arial" w:hAnsi="Arial" w:cs="Arial"/>
                <w:b w:val="0"/>
                <w:bCs w:val="0"/>
                <w:i/>
                <w:iCs/>
                <w:sz w:val="18"/>
                <w:szCs w:val="18"/>
              </w:rPr>
            </w:pPr>
          </w:p>
        </w:tc>
        <w:tc>
          <w:tcPr>
            <w:tcW w:w="992" w:type="dxa"/>
          </w:tcPr>
          <w:p w14:paraId="5981133D" w14:textId="49C01329" w:rsidR="008B2823" w:rsidRDefault="008B2823"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1"/>
                  </w:checkBox>
                </w:ffData>
              </w:fldChar>
            </w:r>
            <w:bookmarkStart w:id="0" w:name="Check2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992" w:type="dxa"/>
          </w:tcPr>
          <w:p w14:paraId="47CC019F" w14:textId="22C2D014" w:rsidR="008B2823" w:rsidRPr="00B910CA" w:rsidRDefault="008B2823" w:rsidP="00DA095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16AC2E4F" w14:textId="77777777" w:rsidTr="008B2823">
        <w:trPr>
          <w:trHeight w:val="576"/>
        </w:trPr>
        <w:tc>
          <w:tcPr>
            <w:cnfStyle w:val="001000000000" w:firstRow="0" w:lastRow="0" w:firstColumn="1" w:lastColumn="0" w:oddVBand="0" w:evenVBand="0" w:oddHBand="0" w:evenHBand="0" w:firstRowFirstColumn="0" w:firstRowLastColumn="0" w:lastRowFirstColumn="0" w:lastRowLastColumn="0"/>
            <w:tcW w:w="7225" w:type="dxa"/>
          </w:tcPr>
          <w:p w14:paraId="7F7FFCDC" w14:textId="77777777" w:rsidR="008B2823" w:rsidRPr="009852C7" w:rsidRDefault="008B2823" w:rsidP="00BA3D57">
            <w:pPr>
              <w:spacing w:line="259" w:lineRule="auto"/>
              <w:rPr>
                <w:rFonts w:ascii="Arial" w:hAnsi="Arial" w:cs="Arial"/>
                <w:b w:val="0"/>
                <w:bCs w:val="0"/>
                <w:sz w:val="18"/>
                <w:szCs w:val="18"/>
              </w:rPr>
            </w:pPr>
            <w:r w:rsidRPr="009852C7">
              <w:rPr>
                <w:rFonts w:ascii="Arial" w:hAnsi="Arial" w:cs="Arial"/>
                <w:b w:val="0"/>
                <w:bCs w:val="0"/>
                <w:sz w:val="18"/>
                <w:szCs w:val="18"/>
              </w:rPr>
              <w:t>Evidence of a commitment to continued professional development in a relevant field</w:t>
            </w:r>
          </w:p>
          <w:p w14:paraId="30B52E7D" w14:textId="284BD03A" w:rsidR="008B2823" w:rsidRPr="009852C7" w:rsidRDefault="008B2823" w:rsidP="003A70B6">
            <w:pPr>
              <w:rPr>
                <w:rFonts w:ascii="Arial" w:hAnsi="Arial" w:cs="Arial"/>
                <w:b w:val="0"/>
                <w:bCs w:val="0"/>
                <w:i/>
                <w:iCs/>
                <w:sz w:val="18"/>
                <w:szCs w:val="18"/>
              </w:rPr>
            </w:pPr>
          </w:p>
        </w:tc>
        <w:tc>
          <w:tcPr>
            <w:tcW w:w="992" w:type="dxa"/>
          </w:tcPr>
          <w:p w14:paraId="31C5433C" w14:textId="27EE6028" w:rsidR="008B2823" w:rsidRDefault="008B2823"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0"/>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77B115C2" w14:textId="499982B8" w:rsidR="008B2823" w:rsidRPr="00B910CA" w:rsidRDefault="008B2823" w:rsidP="003A70B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2"/>
                  <w:enabled/>
                  <w:calcOnExit w:val="0"/>
                  <w:checkBox>
                    <w:sizeAuto/>
                    <w:default w:val="1"/>
                  </w:checkBox>
                </w:ffData>
              </w:fldChar>
            </w:r>
            <w:bookmarkStart w:id="1" w:name="Check22"/>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1"/>
          </w:p>
        </w:tc>
      </w:tr>
      <w:tr w:rsidR="008B2823" w:rsidRPr="00B910CA" w14:paraId="5C87EABB" w14:textId="632EB4CE" w:rsidTr="008B2823">
        <w:trPr>
          <w:cnfStyle w:val="000000100000" w:firstRow="0" w:lastRow="0" w:firstColumn="0" w:lastColumn="0" w:oddVBand="0" w:evenVBand="0" w:oddHBand="1"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7225" w:type="dxa"/>
          </w:tcPr>
          <w:p w14:paraId="4D1C4220" w14:textId="77777777" w:rsidR="008B2823" w:rsidRDefault="008B2823" w:rsidP="00165B99">
            <w:pPr>
              <w:rPr>
                <w:rFonts w:ascii="Arial" w:hAnsi="Arial" w:cs="Arial"/>
                <w:b w:val="0"/>
                <w:bCs w:val="0"/>
                <w:sz w:val="18"/>
                <w:szCs w:val="18"/>
              </w:rPr>
            </w:pPr>
          </w:p>
          <w:p w14:paraId="4FBE02BD" w14:textId="796259CF" w:rsidR="008B2823" w:rsidRPr="00B910CA" w:rsidRDefault="008B2823" w:rsidP="00165B99">
            <w:pPr>
              <w:rPr>
                <w:rFonts w:ascii="Arial" w:hAnsi="Arial" w:cs="Arial"/>
                <w:sz w:val="18"/>
                <w:szCs w:val="18"/>
              </w:rPr>
            </w:pPr>
            <w:r w:rsidRPr="00B910CA">
              <w:rPr>
                <w:rFonts w:ascii="Arial" w:hAnsi="Arial" w:cs="Arial"/>
                <w:sz w:val="18"/>
                <w:szCs w:val="18"/>
              </w:rPr>
              <w:t>Experience/Knowledge</w:t>
            </w:r>
          </w:p>
        </w:tc>
        <w:tc>
          <w:tcPr>
            <w:tcW w:w="992" w:type="dxa"/>
          </w:tcPr>
          <w:p w14:paraId="477BE467" w14:textId="77777777" w:rsidR="008B2823" w:rsidRPr="00B910CA" w:rsidRDefault="008B282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92" w:type="dxa"/>
          </w:tcPr>
          <w:p w14:paraId="76F628CB" w14:textId="77777777" w:rsidR="008B2823" w:rsidRPr="00B910CA" w:rsidRDefault="008B2823" w:rsidP="00B910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8B2823" w:rsidRPr="00B910CA" w14:paraId="6F11C2B2" w14:textId="6B9A77D8" w:rsidTr="008B2823">
        <w:trPr>
          <w:trHeight w:val="882"/>
        </w:trPr>
        <w:tc>
          <w:tcPr>
            <w:cnfStyle w:val="001000000000" w:firstRow="0" w:lastRow="0" w:firstColumn="1" w:lastColumn="0" w:oddVBand="0" w:evenVBand="0" w:oddHBand="0" w:evenHBand="0" w:firstRowFirstColumn="0" w:firstRowLastColumn="0" w:lastRowFirstColumn="0" w:lastRowLastColumn="0"/>
            <w:tcW w:w="7225" w:type="dxa"/>
          </w:tcPr>
          <w:p w14:paraId="1AD762D4" w14:textId="77777777" w:rsidR="008B2823" w:rsidRPr="00BB62D9" w:rsidRDefault="008B2823" w:rsidP="00BB62D9">
            <w:pPr>
              <w:rPr>
                <w:rFonts w:ascii="Arial" w:hAnsi="Arial" w:cs="Arial"/>
                <w:b w:val="0"/>
                <w:bCs w:val="0"/>
                <w:sz w:val="18"/>
                <w:szCs w:val="18"/>
              </w:rPr>
            </w:pPr>
          </w:p>
          <w:p w14:paraId="6544F2DB" w14:textId="7FE56608" w:rsidR="008B2823" w:rsidRPr="00BB62D9" w:rsidRDefault="008B2823" w:rsidP="00BB62D9">
            <w:pPr>
              <w:rPr>
                <w:rFonts w:ascii="Arial" w:hAnsi="Arial" w:cs="Arial"/>
                <w:b w:val="0"/>
                <w:bCs w:val="0"/>
                <w:i/>
                <w:iCs/>
                <w:sz w:val="18"/>
                <w:szCs w:val="18"/>
              </w:rPr>
            </w:pPr>
            <w:r w:rsidRPr="00BB62D9">
              <w:rPr>
                <w:rFonts w:ascii="Arial" w:hAnsi="Arial" w:cs="Arial"/>
                <w:b w:val="0"/>
                <w:bCs w:val="0"/>
                <w:sz w:val="18"/>
                <w:szCs w:val="18"/>
              </w:rPr>
              <w:t>Leading or managing a data insight, analytics or performance function, ideally within a higher education or a complex organisation</w:t>
            </w:r>
          </w:p>
        </w:tc>
        <w:tc>
          <w:tcPr>
            <w:tcW w:w="992" w:type="dxa"/>
          </w:tcPr>
          <w:p w14:paraId="21259D1E" w14:textId="2BBE3472" w:rsidR="008B2823" w:rsidRPr="00B910CA"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3B094E68" w14:textId="7290AB4E" w:rsidR="008B2823" w:rsidRPr="00B910CA"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4B7F3902" w14:textId="72018AA4" w:rsidTr="008B2823">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225" w:type="dxa"/>
          </w:tcPr>
          <w:p w14:paraId="17671B7B" w14:textId="5A78BAD4" w:rsidR="008B2823" w:rsidRPr="00BB62D9" w:rsidRDefault="008B2823" w:rsidP="00BB62D9">
            <w:pPr>
              <w:rPr>
                <w:rFonts w:ascii="Arial" w:hAnsi="Arial" w:cs="Arial"/>
                <w:b w:val="0"/>
                <w:bCs w:val="0"/>
                <w:i/>
                <w:iCs/>
                <w:sz w:val="18"/>
                <w:szCs w:val="18"/>
              </w:rPr>
            </w:pPr>
            <w:r w:rsidRPr="00BB62D9">
              <w:rPr>
                <w:rFonts w:ascii="Arial" w:hAnsi="Arial" w:cs="Arial"/>
                <w:b w:val="0"/>
                <w:bCs w:val="0"/>
                <w:sz w:val="18"/>
                <w:szCs w:val="18"/>
              </w:rPr>
              <w:t>Shaping and delivering insight services that support planning, forecasting, performance management and strategic decision-making</w:t>
            </w:r>
          </w:p>
        </w:tc>
        <w:tc>
          <w:tcPr>
            <w:tcW w:w="992" w:type="dxa"/>
          </w:tcPr>
          <w:p w14:paraId="6995F80D" w14:textId="1E58F36F"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3959F7AB" w14:textId="1CC6099A"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7B0400B8" w14:textId="77777777" w:rsidTr="008B2823">
        <w:trPr>
          <w:trHeight w:val="696"/>
        </w:trPr>
        <w:tc>
          <w:tcPr>
            <w:cnfStyle w:val="001000000000" w:firstRow="0" w:lastRow="0" w:firstColumn="1" w:lastColumn="0" w:oddVBand="0" w:evenVBand="0" w:oddHBand="0" w:evenHBand="0" w:firstRowFirstColumn="0" w:firstRowLastColumn="0" w:lastRowFirstColumn="0" w:lastRowLastColumn="0"/>
            <w:tcW w:w="7225" w:type="dxa"/>
          </w:tcPr>
          <w:p w14:paraId="5D04F283" w14:textId="454CD34F" w:rsidR="008B2823" w:rsidRPr="00BB62D9" w:rsidRDefault="008B2823" w:rsidP="00BB62D9">
            <w:pPr>
              <w:spacing w:line="259" w:lineRule="auto"/>
              <w:rPr>
                <w:rFonts w:ascii="Arial" w:hAnsi="Arial" w:cs="Arial"/>
                <w:b w:val="0"/>
                <w:bCs w:val="0"/>
                <w:sz w:val="18"/>
                <w:szCs w:val="18"/>
              </w:rPr>
            </w:pPr>
            <w:r w:rsidRPr="00BB62D9">
              <w:rPr>
                <w:rFonts w:ascii="Arial" w:hAnsi="Arial" w:cs="Arial"/>
                <w:b w:val="0"/>
                <w:bCs w:val="0"/>
                <w:sz w:val="18"/>
                <w:szCs w:val="18"/>
              </w:rPr>
              <w:t>Working with senior stakeholders to define insight requirements, prioritise activity and embed consistent, trusted reporting</w:t>
            </w:r>
          </w:p>
        </w:tc>
        <w:tc>
          <w:tcPr>
            <w:tcW w:w="992" w:type="dxa"/>
          </w:tcPr>
          <w:p w14:paraId="21D874F1" w14:textId="0B822A0F" w:rsidR="008B2823"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080B03DE" w14:textId="1B943F0B" w:rsidR="008B2823" w:rsidRPr="00B910CA"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5C4B1107" w14:textId="77777777" w:rsidTr="008B2823">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7225" w:type="dxa"/>
          </w:tcPr>
          <w:p w14:paraId="1BABCF2A" w14:textId="27E21B19" w:rsidR="008B2823" w:rsidRPr="00BB62D9" w:rsidRDefault="008B2823" w:rsidP="00BB62D9">
            <w:pPr>
              <w:rPr>
                <w:rFonts w:ascii="Arial" w:hAnsi="Arial" w:cs="Arial"/>
                <w:b w:val="0"/>
                <w:bCs w:val="0"/>
                <w:sz w:val="18"/>
                <w:szCs w:val="18"/>
              </w:rPr>
            </w:pPr>
            <w:r w:rsidRPr="00BB62D9">
              <w:rPr>
                <w:rFonts w:ascii="Arial" w:hAnsi="Arial" w:cs="Arial"/>
                <w:b w:val="0"/>
                <w:bCs w:val="0"/>
                <w:sz w:val="18"/>
                <w:szCs w:val="18"/>
              </w:rPr>
              <w:t>Using business intelligence and analytics tools to support insight delivery, including Power BI, and working with data transformation tools such as Alteryx</w:t>
            </w:r>
          </w:p>
        </w:tc>
        <w:tc>
          <w:tcPr>
            <w:tcW w:w="992" w:type="dxa"/>
          </w:tcPr>
          <w:p w14:paraId="29373089" w14:textId="25111713" w:rsidR="008B2823"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454DCD0A" w14:textId="1BAEEB47"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0A6C24FB" w14:textId="77777777" w:rsidTr="008B2823">
        <w:trPr>
          <w:trHeight w:val="696"/>
        </w:trPr>
        <w:tc>
          <w:tcPr>
            <w:cnfStyle w:val="001000000000" w:firstRow="0" w:lastRow="0" w:firstColumn="1" w:lastColumn="0" w:oddVBand="0" w:evenVBand="0" w:oddHBand="0" w:evenHBand="0" w:firstRowFirstColumn="0" w:firstRowLastColumn="0" w:lastRowFirstColumn="0" w:lastRowLastColumn="0"/>
            <w:tcW w:w="7225" w:type="dxa"/>
          </w:tcPr>
          <w:p w14:paraId="6E7558D6" w14:textId="079CF004" w:rsidR="008B2823" w:rsidRPr="00BB62D9" w:rsidRDefault="008B2823" w:rsidP="00BB62D9">
            <w:pPr>
              <w:rPr>
                <w:rFonts w:ascii="Arial" w:hAnsi="Arial" w:cs="Arial"/>
                <w:b w:val="0"/>
                <w:bCs w:val="0"/>
                <w:sz w:val="18"/>
                <w:szCs w:val="18"/>
              </w:rPr>
            </w:pPr>
            <w:r w:rsidRPr="00BB62D9">
              <w:rPr>
                <w:rFonts w:ascii="Arial" w:hAnsi="Arial" w:cs="Arial"/>
                <w:b w:val="0"/>
                <w:bCs w:val="0"/>
                <w:sz w:val="18"/>
                <w:szCs w:val="18"/>
              </w:rPr>
              <w:t>Working with modern data platforms and environments, including cloud-based data architecture (e.g. AWS), and collaborating effectively with data engineering teams</w:t>
            </w:r>
          </w:p>
        </w:tc>
        <w:tc>
          <w:tcPr>
            <w:tcW w:w="992" w:type="dxa"/>
          </w:tcPr>
          <w:p w14:paraId="26DDFB09" w14:textId="1902E1EF" w:rsidR="008B2823"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2CF45453" w14:textId="1EA23E15" w:rsidR="008B2823" w:rsidRPr="00B910CA"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012AF377" w14:textId="166AF744" w:rsidTr="008B2823">
        <w:trPr>
          <w:cnfStyle w:val="000000100000" w:firstRow="0" w:lastRow="0" w:firstColumn="0" w:lastColumn="0" w:oddVBand="0" w:evenVBand="0" w:oddHBand="1" w:evenHBand="0" w:firstRowFirstColumn="0" w:firstRowLastColumn="0" w:lastRowFirstColumn="0" w:lastRowLastColumn="0"/>
          <w:trHeight w:val="989"/>
        </w:trPr>
        <w:tc>
          <w:tcPr>
            <w:cnfStyle w:val="001000000000" w:firstRow="0" w:lastRow="0" w:firstColumn="1" w:lastColumn="0" w:oddVBand="0" w:evenVBand="0" w:oddHBand="0" w:evenHBand="0" w:firstRowFirstColumn="0" w:firstRowLastColumn="0" w:lastRowFirstColumn="0" w:lastRowLastColumn="0"/>
            <w:tcW w:w="7225" w:type="dxa"/>
          </w:tcPr>
          <w:p w14:paraId="75E5CBE5" w14:textId="77777777" w:rsidR="008B2823" w:rsidRDefault="008B2823" w:rsidP="00BB62D9">
            <w:pPr>
              <w:rPr>
                <w:rFonts w:ascii="Arial" w:hAnsi="Arial" w:cs="Arial"/>
                <w:b w:val="0"/>
                <w:bCs w:val="0"/>
                <w:sz w:val="18"/>
                <w:szCs w:val="18"/>
              </w:rPr>
            </w:pPr>
          </w:p>
          <w:p w14:paraId="6ABACC0E" w14:textId="0BCC10D9" w:rsidR="008B2823" w:rsidRPr="00B910CA" w:rsidRDefault="008B2823" w:rsidP="00BB62D9">
            <w:pPr>
              <w:rPr>
                <w:rFonts w:ascii="Arial" w:hAnsi="Arial" w:cs="Arial"/>
                <w:b w:val="0"/>
                <w:bCs w:val="0"/>
                <w:sz w:val="18"/>
                <w:szCs w:val="18"/>
              </w:rPr>
            </w:pPr>
            <w:r w:rsidRPr="00B910CA">
              <w:rPr>
                <w:rFonts w:ascii="Arial" w:hAnsi="Arial" w:cs="Arial"/>
                <w:sz w:val="18"/>
                <w:szCs w:val="18"/>
              </w:rPr>
              <w:t>Skills/Abilities</w:t>
            </w:r>
          </w:p>
        </w:tc>
        <w:tc>
          <w:tcPr>
            <w:tcW w:w="992" w:type="dxa"/>
          </w:tcPr>
          <w:p w14:paraId="1B33161F" w14:textId="38E377EC"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992" w:type="dxa"/>
          </w:tcPr>
          <w:p w14:paraId="11E45F5B" w14:textId="097C7CEB"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8B2823" w:rsidRPr="00B910CA" w14:paraId="083EBD57" w14:textId="77777777" w:rsidTr="008B2823">
        <w:trPr>
          <w:trHeight w:val="989"/>
        </w:trPr>
        <w:tc>
          <w:tcPr>
            <w:cnfStyle w:val="001000000000" w:firstRow="0" w:lastRow="0" w:firstColumn="1" w:lastColumn="0" w:oddVBand="0" w:evenVBand="0" w:oddHBand="0" w:evenHBand="0" w:firstRowFirstColumn="0" w:firstRowLastColumn="0" w:lastRowFirstColumn="0" w:lastRowLastColumn="0"/>
            <w:tcW w:w="7225" w:type="dxa"/>
          </w:tcPr>
          <w:p w14:paraId="6DE63ACF" w14:textId="55AF181D" w:rsidR="008B2823" w:rsidRPr="009852C7" w:rsidRDefault="008B2823" w:rsidP="00BB62D9">
            <w:pPr>
              <w:spacing w:line="259" w:lineRule="auto"/>
              <w:rPr>
                <w:rFonts w:ascii="Arial" w:hAnsi="Arial" w:cs="Arial"/>
                <w:b w:val="0"/>
                <w:bCs w:val="0"/>
                <w:sz w:val="18"/>
                <w:szCs w:val="18"/>
              </w:rPr>
            </w:pPr>
            <w:r w:rsidRPr="009852C7">
              <w:rPr>
                <w:rFonts w:ascii="Arial" w:hAnsi="Arial" w:cs="Arial"/>
                <w:sz w:val="18"/>
                <w:szCs w:val="18"/>
              </w:rPr>
              <w:t>Strategic and commercial thinking:</w:t>
            </w:r>
            <w:r w:rsidRPr="009852C7">
              <w:rPr>
                <w:rFonts w:ascii="Arial" w:hAnsi="Arial" w:cs="Arial"/>
                <w:b w:val="0"/>
                <w:bCs w:val="0"/>
                <w:sz w:val="18"/>
                <w:szCs w:val="18"/>
              </w:rPr>
              <w:t xml:space="preserve"> ability to understand complex organisational dynamics, navigate ambiguity and connect insight to institutional priorities now and in the future</w:t>
            </w:r>
          </w:p>
          <w:p w14:paraId="2D80BC03" w14:textId="5924A54C" w:rsidR="008B2823" w:rsidRPr="009852C7" w:rsidRDefault="008B2823" w:rsidP="00BB62D9">
            <w:pPr>
              <w:rPr>
                <w:rFonts w:ascii="Arial" w:hAnsi="Arial" w:cs="Arial"/>
                <w:b w:val="0"/>
                <w:bCs w:val="0"/>
                <w:sz w:val="18"/>
                <w:szCs w:val="18"/>
              </w:rPr>
            </w:pPr>
          </w:p>
        </w:tc>
        <w:tc>
          <w:tcPr>
            <w:tcW w:w="992" w:type="dxa"/>
          </w:tcPr>
          <w:p w14:paraId="3EB9890B" w14:textId="15FA123F" w:rsidR="008B2823"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4"/>
                  <w:enabled/>
                  <w:calcOnExit w:val="0"/>
                  <w:checkBox>
                    <w:sizeAuto/>
                    <w:default w:val="1"/>
                  </w:checkBox>
                </w:ffData>
              </w:fldChar>
            </w:r>
            <w:bookmarkStart w:id="2" w:name="Check14"/>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2"/>
          </w:p>
        </w:tc>
        <w:tc>
          <w:tcPr>
            <w:tcW w:w="992" w:type="dxa"/>
          </w:tcPr>
          <w:p w14:paraId="6ECB4F8C" w14:textId="3EB7B092" w:rsidR="008B2823" w:rsidRPr="00B910CA"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1C7A7557" w14:textId="2CB41763" w:rsidTr="008B282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225" w:type="dxa"/>
          </w:tcPr>
          <w:p w14:paraId="4F80D765" w14:textId="7103B607" w:rsidR="008B2823" w:rsidRPr="009852C7" w:rsidRDefault="008B2823" w:rsidP="00BB62D9">
            <w:pPr>
              <w:spacing w:line="259" w:lineRule="auto"/>
              <w:rPr>
                <w:rFonts w:ascii="Arial" w:hAnsi="Arial" w:cs="Arial"/>
                <w:b w:val="0"/>
                <w:bCs w:val="0"/>
                <w:sz w:val="18"/>
                <w:szCs w:val="18"/>
              </w:rPr>
            </w:pPr>
            <w:r w:rsidRPr="009852C7">
              <w:rPr>
                <w:rFonts w:ascii="Arial" w:hAnsi="Arial" w:cs="Arial"/>
                <w:sz w:val="18"/>
                <w:szCs w:val="18"/>
              </w:rPr>
              <w:t>Strong analytical and problem-solving capability:</w:t>
            </w:r>
            <w:r w:rsidRPr="009852C7">
              <w:rPr>
                <w:rFonts w:ascii="Arial" w:hAnsi="Arial" w:cs="Arial"/>
                <w:b w:val="0"/>
                <w:bCs w:val="0"/>
                <w:sz w:val="18"/>
                <w:szCs w:val="18"/>
              </w:rPr>
              <w:t xml:space="preserve"> able to synthesise information from multiple sources, identify patterns, gaps and inconsistencies, and translate analysis into clear insight and recommendation</w:t>
            </w:r>
            <w:r>
              <w:rPr>
                <w:rFonts w:ascii="Arial" w:hAnsi="Arial" w:cs="Arial"/>
                <w:b w:val="0"/>
                <w:bCs w:val="0"/>
                <w:sz w:val="18"/>
                <w:szCs w:val="18"/>
              </w:rPr>
              <w:t>s</w:t>
            </w:r>
          </w:p>
          <w:p w14:paraId="2CD446F2" w14:textId="27FDB751" w:rsidR="008B2823" w:rsidRPr="009852C7" w:rsidRDefault="008B2823" w:rsidP="00BB62D9">
            <w:pPr>
              <w:rPr>
                <w:rFonts w:ascii="Arial" w:hAnsi="Arial" w:cs="Arial"/>
                <w:b w:val="0"/>
                <w:bCs w:val="0"/>
                <w:sz w:val="18"/>
                <w:szCs w:val="18"/>
              </w:rPr>
            </w:pPr>
          </w:p>
        </w:tc>
        <w:tc>
          <w:tcPr>
            <w:tcW w:w="992" w:type="dxa"/>
          </w:tcPr>
          <w:p w14:paraId="66B27AAB" w14:textId="76034074"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bookmarkStart w:id="3" w:name="Check15"/>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3"/>
          </w:p>
        </w:tc>
        <w:tc>
          <w:tcPr>
            <w:tcW w:w="992" w:type="dxa"/>
          </w:tcPr>
          <w:p w14:paraId="6818DA45" w14:textId="64EDC5C6"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76F55FCD" w14:textId="77777777" w:rsidTr="008B2823">
        <w:trPr>
          <w:trHeight w:val="424"/>
        </w:trPr>
        <w:tc>
          <w:tcPr>
            <w:cnfStyle w:val="001000000000" w:firstRow="0" w:lastRow="0" w:firstColumn="1" w:lastColumn="0" w:oddVBand="0" w:evenVBand="0" w:oddHBand="0" w:evenHBand="0" w:firstRowFirstColumn="0" w:firstRowLastColumn="0" w:lastRowFirstColumn="0" w:lastRowLastColumn="0"/>
            <w:tcW w:w="7225" w:type="dxa"/>
          </w:tcPr>
          <w:p w14:paraId="4EA49717" w14:textId="7E09DDF6" w:rsidR="008B2823" w:rsidRPr="009852C7" w:rsidRDefault="008B2823" w:rsidP="00BB62D9">
            <w:pPr>
              <w:spacing w:line="259" w:lineRule="auto"/>
              <w:rPr>
                <w:rFonts w:ascii="Arial" w:hAnsi="Arial" w:cs="Arial"/>
                <w:b w:val="0"/>
                <w:bCs w:val="0"/>
                <w:sz w:val="18"/>
                <w:szCs w:val="18"/>
              </w:rPr>
            </w:pPr>
            <w:r w:rsidRPr="009852C7">
              <w:rPr>
                <w:rFonts w:ascii="Arial" w:hAnsi="Arial" w:cs="Arial"/>
                <w:sz w:val="18"/>
                <w:szCs w:val="18"/>
              </w:rPr>
              <w:t>Ability to interpret data in context:</w:t>
            </w:r>
            <w:r w:rsidRPr="009852C7">
              <w:rPr>
                <w:rFonts w:ascii="Arial" w:hAnsi="Arial" w:cs="Arial"/>
                <w:b w:val="0"/>
                <w:bCs w:val="0"/>
                <w:sz w:val="18"/>
                <w:szCs w:val="18"/>
              </w:rPr>
              <w:t xml:space="preserve"> combining quantitative evidence with sector knowledge and organisational understanding to explain drivers, risks and implications</w:t>
            </w:r>
          </w:p>
          <w:p w14:paraId="7B19979D" w14:textId="77777777" w:rsidR="008B2823" w:rsidRPr="009852C7" w:rsidRDefault="008B2823" w:rsidP="00BB62D9">
            <w:pPr>
              <w:spacing w:line="259" w:lineRule="auto"/>
              <w:rPr>
                <w:rFonts w:ascii="Arial" w:hAnsi="Arial" w:cs="Arial"/>
                <w:b w:val="0"/>
                <w:bCs w:val="0"/>
                <w:sz w:val="18"/>
                <w:szCs w:val="18"/>
              </w:rPr>
            </w:pPr>
          </w:p>
        </w:tc>
        <w:tc>
          <w:tcPr>
            <w:tcW w:w="992" w:type="dxa"/>
          </w:tcPr>
          <w:p w14:paraId="1FDA629D" w14:textId="371BE2F1" w:rsidR="008B2823"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1805EF30" w14:textId="43DE0F4B" w:rsidR="008B2823" w:rsidRPr="00B910CA"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7E40CADD" w14:textId="77777777" w:rsidTr="008B282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225" w:type="dxa"/>
          </w:tcPr>
          <w:p w14:paraId="3E3C0095" w14:textId="5138D0C2" w:rsidR="008B2823" w:rsidRPr="009852C7" w:rsidRDefault="008B2823" w:rsidP="00BB62D9">
            <w:pPr>
              <w:spacing w:line="259" w:lineRule="auto"/>
              <w:rPr>
                <w:rFonts w:ascii="Arial" w:hAnsi="Arial" w:cs="Arial"/>
                <w:b w:val="0"/>
                <w:bCs w:val="0"/>
                <w:sz w:val="18"/>
                <w:szCs w:val="18"/>
              </w:rPr>
            </w:pPr>
            <w:r w:rsidRPr="009852C7">
              <w:rPr>
                <w:rFonts w:ascii="Arial" w:hAnsi="Arial" w:cs="Arial"/>
                <w:sz w:val="18"/>
                <w:szCs w:val="18"/>
              </w:rPr>
              <w:lastRenderedPageBreak/>
              <w:t>Communication:</w:t>
            </w:r>
            <w:r w:rsidRPr="009852C7">
              <w:rPr>
                <w:rFonts w:ascii="Arial" w:hAnsi="Arial" w:cs="Arial"/>
                <w:b w:val="0"/>
                <w:bCs w:val="0"/>
                <w:sz w:val="18"/>
                <w:szCs w:val="18"/>
              </w:rPr>
              <w:t xml:space="preserve"> able to articulate insight and make a compelling case for action, particularly with senior leaders and governance forums</w:t>
            </w:r>
          </w:p>
          <w:p w14:paraId="024A573C" w14:textId="77777777" w:rsidR="008B2823" w:rsidRPr="009852C7" w:rsidRDefault="008B2823" w:rsidP="00BB62D9">
            <w:pPr>
              <w:spacing w:line="259" w:lineRule="auto"/>
              <w:rPr>
                <w:rFonts w:ascii="Arial" w:hAnsi="Arial" w:cs="Arial"/>
                <w:b w:val="0"/>
                <w:bCs w:val="0"/>
                <w:sz w:val="18"/>
                <w:szCs w:val="18"/>
              </w:rPr>
            </w:pPr>
          </w:p>
        </w:tc>
        <w:tc>
          <w:tcPr>
            <w:tcW w:w="992" w:type="dxa"/>
          </w:tcPr>
          <w:p w14:paraId="79014FDE" w14:textId="7D52F6AF" w:rsidR="008B2823"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4261E4E5" w14:textId="72CE8CC2"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566E09FB" w14:textId="77777777" w:rsidTr="008B2823">
        <w:trPr>
          <w:trHeight w:val="424"/>
        </w:trPr>
        <w:tc>
          <w:tcPr>
            <w:cnfStyle w:val="001000000000" w:firstRow="0" w:lastRow="0" w:firstColumn="1" w:lastColumn="0" w:oddVBand="0" w:evenVBand="0" w:oddHBand="0" w:evenHBand="0" w:firstRowFirstColumn="0" w:firstRowLastColumn="0" w:lastRowFirstColumn="0" w:lastRowLastColumn="0"/>
            <w:tcW w:w="7225" w:type="dxa"/>
          </w:tcPr>
          <w:p w14:paraId="0AAF2039" w14:textId="5A1776E3" w:rsidR="008B2823" w:rsidRPr="009852C7" w:rsidRDefault="008B2823" w:rsidP="00BB62D9">
            <w:pPr>
              <w:spacing w:line="259" w:lineRule="auto"/>
              <w:rPr>
                <w:rFonts w:ascii="Arial" w:hAnsi="Arial" w:cs="Arial"/>
                <w:b w:val="0"/>
                <w:bCs w:val="0"/>
                <w:sz w:val="18"/>
                <w:szCs w:val="18"/>
              </w:rPr>
            </w:pPr>
            <w:r w:rsidRPr="009852C7">
              <w:rPr>
                <w:rFonts w:ascii="Arial" w:hAnsi="Arial" w:cs="Arial"/>
                <w:sz w:val="18"/>
                <w:szCs w:val="18"/>
              </w:rPr>
              <w:t>Skilled at influencing and coaching:</w:t>
            </w:r>
            <w:r w:rsidRPr="009852C7">
              <w:rPr>
                <w:rFonts w:ascii="Arial" w:hAnsi="Arial" w:cs="Arial"/>
                <w:b w:val="0"/>
                <w:bCs w:val="0"/>
                <w:sz w:val="18"/>
                <w:szCs w:val="18"/>
              </w:rPr>
              <w:t xml:space="preserve"> supporting leaders to use insight effectively, challenge assumptions constructively and role-model evidence-led decision-making</w:t>
            </w:r>
          </w:p>
          <w:p w14:paraId="483B70E4" w14:textId="77777777" w:rsidR="008B2823" w:rsidRPr="009852C7" w:rsidRDefault="008B2823" w:rsidP="00BB62D9">
            <w:pPr>
              <w:spacing w:line="259" w:lineRule="auto"/>
              <w:rPr>
                <w:rFonts w:ascii="Arial" w:hAnsi="Arial" w:cs="Arial"/>
                <w:b w:val="0"/>
                <w:bCs w:val="0"/>
                <w:sz w:val="18"/>
                <w:szCs w:val="18"/>
              </w:rPr>
            </w:pPr>
          </w:p>
        </w:tc>
        <w:tc>
          <w:tcPr>
            <w:tcW w:w="992" w:type="dxa"/>
          </w:tcPr>
          <w:p w14:paraId="2B66C60D" w14:textId="08B7728D" w:rsidR="008B2823"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20C8B7CB" w14:textId="00B250AF" w:rsidR="008B2823" w:rsidRPr="00B910CA" w:rsidRDefault="008B2823" w:rsidP="00BB62D9">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8B2823" w:rsidRPr="00B910CA" w14:paraId="1F544D35" w14:textId="77777777" w:rsidTr="008B2823">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7225" w:type="dxa"/>
          </w:tcPr>
          <w:p w14:paraId="1DF03C1D" w14:textId="62DD2D15" w:rsidR="008B2823" w:rsidRPr="009852C7" w:rsidRDefault="008B2823" w:rsidP="00BB62D9">
            <w:pPr>
              <w:spacing w:line="259" w:lineRule="auto"/>
              <w:rPr>
                <w:rFonts w:ascii="Arial" w:hAnsi="Arial" w:cs="Arial"/>
                <w:b w:val="0"/>
                <w:bCs w:val="0"/>
                <w:sz w:val="18"/>
                <w:szCs w:val="18"/>
              </w:rPr>
            </w:pPr>
            <w:r w:rsidRPr="009852C7">
              <w:rPr>
                <w:rFonts w:ascii="Arial" w:hAnsi="Arial" w:cs="Arial"/>
                <w:sz w:val="18"/>
                <w:szCs w:val="18"/>
              </w:rPr>
              <w:t>Strong judgement around data quality:</w:t>
            </w:r>
            <w:r w:rsidRPr="009852C7">
              <w:rPr>
                <w:rFonts w:ascii="Arial" w:hAnsi="Arial" w:cs="Arial"/>
                <w:b w:val="0"/>
                <w:bCs w:val="0"/>
                <w:sz w:val="18"/>
                <w:szCs w:val="18"/>
              </w:rPr>
              <w:t xml:space="preserve"> understanding limitations and risk, ensuring insight is reliable, appropriately caveated and used responsibly</w:t>
            </w:r>
          </w:p>
          <w:p w14:paraId="7AB5ED0F" w14:textId="77777777" w:rsidR="008B2823" w:rsidRPr="009852C7" w:rsidRDefault="008B2823" w:rsidP="00BB62D9">
            <w:pPr>
              <w:spacing w:line="259" w:lineRule="auto"/>
              <w:rPr>
                <w:rFonts w:ascii="Arial" w:hAnsi="Arial" w:cs="Arial"/>
                <w:b w:val="0"/>
                <w:bCs w:val="0"/>
                <w:sz w:val="18"/>
                <w:szCs w:val="18"/>
              </w:rPr>
            </w:pPr>
          </w:p>
        </w:tc>
        <w:tc>
          <w:tcPr>
            <w:tcW w:w="992" w:type="dxa"/>
          </w:tcPr>
          <w:p w14:paraId="30546278" w14:textId="6368DA21" w:rsidR="008B2823"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15"/>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992" w:type="dxa"/>
          </w:tcPr>
          <w:p w14:paraId="30525F8D" w14:textId="4884FFB3" w:rsidR="008B2823" w:rsidRPr="00B910CA" w:rsidRDefault="008B2823" w:rsidP="00BB62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7"/>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bl>
    <w:p w14:paraId="14FA1D03" w14:textId="71043E9B" w:rsidR="00B910CA" w:rsidRDefault="00B910CA"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78BEE5E3" w14:textId="4E86343E" w:rsidR="001F4320" w:rsidRPr="00805BCC" w:rsidRDefault="001F4320" w:rsidP="007007EB">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38AEC" w14:textId="77777777" w:rsidR="007004E7" w:rsidRDefault="007004E7" w:rsidP="009962E4">
      <w:r>
        <w:separator/>
      </w:r>
    </w:p>
  </w:endnote>
  <w:endnote w:type="continuationSeparator" w:id="0">
    <w:p w14:paraId="1E94682F" w14:textId="77777777" w:rsidR="007004E7" w:rsidRDefault="007004E7"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0967E3C6" w14:textId="77777777" w:rsidTr="6C47D0CA">
      <w:trPr>
        <w:trHeight w:val="300"/>
      </w:trPr>
      <w:tc>
        <w:tcPr>
          <w:tcW w:w="3005" w:type="dxa"/>
        </w:tcPr>
        <w:p w14:paraId="2639F27B" w14:textId="04A1D658" w:rsidR="6C47D0CA" w:rsidRDefault="6C47D0CA" w:rsidP="6C47D0CA">
          <w:pPr>
            <w:pStyle w:val="Header"/>
            <w:ind w:left="-115"/>
          </w:pPr>
        </w:p>
      </w:tc>
      <w:tc>
        <w:tcPr>
          <w:tcW w:w="3005" w:type="dxa"/>
        </w:tcPr>
        <w:p w14:paraId="7BBC713D" w14:textId="7982A8C7" w:rsidR="6C47D0CA" w:rsidRDefault="6C47D0CA" w:rsidP="6C47D0CA">
          <w:pPr>
            <w:pStyle w:val="Header"/>
            <w:jc w:val="center"/>
          </w:pPr>
        </w:p>
      </w:tc>
      <w:tc>
        <w:tcPr>
          <w:tcW w:w="3005" w:type="dxa"/>
        </w:tcPr>
        <w:p w14:paraId="070A9FD1" w14:textId="0FE5C03D" w:rsidR="6C47D0CA" w:rsidRDefault="6C47D0CA" w:rsidP="6C47D0CA">
          <w:pPr>
            <w:pStyle w:val="Header"/>
            <w:ind w:right="-115"/>
            <w:jc w:val="right"/>
          </w:pPr>
        </w:p>
      </w:tc>
    </w:tr>
  </w:tbl>
  <w:p w14:paraId="2FE49953" w14:textId="7BAA51BB" w:rsidR="6C47D0CA" w:rsidRDefault="6C47D0CA" w:rsidP="6C47D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A8B6" w14:textId="77777777" w:rsidR="007004E7" w:rsidRDefault="007004E7" w:rsidP="009962E4">
      <w:r>
        <w:separator/>
      </w:r>
    </w:p>
  </w:footnote>
  <w:footnote w:type="continuationSeparator" w:id="0">
    <w:p w14:paraId="1AA8B296" w14:textId="77777777" w:rsidR="007004E7" w:rsidRDefault="007004E7" w:rsidP="0099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27902FFE" w14:textId="77777777" w:rsidTr="6C47D0CA">
      <w:trPr>
        <w:trHeight w:val="300"/>
      </w:trPr>
      <w:tc>
        <w:tcPr>
          <w:tcW w:w="3005" w:type="dxa"/>
        </w:tcPr>
        <w:p w14:paraId="77E1A81F" w14:textId="7C401558" w:rsidR="6C47D0CA" w:rsidRDefault="6C47D0CA" w:rsidP="6C47D0CA">
          <w:pPr>
            <w:pStyle w:val="Header"/>
            <w:ind w:left="-115"/>
          </w:pPr>
        </w:p>
      </w:tc>
      <w:tc>
        <w:tcPr>
          <w:tcW w:w="3005" w:type="dxa"/>
        </w:tcPr>
        <w:p w14:paraId="3A42F73B" w14:textId="05D505CA" w:rsidR="6C47D0CA" w:rsidRDefault="6C47D0CA" w:rsidP="6C47D0CA">
          <w:pPr>
            <w:pStyle w:val="Header"/>
            <w:jc w:val="center"/>
          </w:pPr>
        </w:p>
      </w:tc>
      <w:tc>
        <w:tcPr>
          <w:tcW w:w="3005" w:type="dxa"/>
        </w:tcPr>
        <w:p w14:paraId="20344A57" w14:textId="5D83BBE6" w:rsidR="6C47D0CA" w:rsidRDefault="6C47D0CA" w:rsidP="6C47D0CA">
          <w:pPr>
            <w:pStyle w:val="Header"/>
            <w:ind w:right="-115"/>
            <w:jc w:val="right"/>
          </w:pPr>
        </w:p>
      </w:tc>
    </w:tr>
  </w:tbl>
  <w:p w14:paraId="53CE0439" w14:textId="799DA271" w:rsidR="6C47D0CA" w:rsidRDefault="6C47D0CA" w:rsidP="6C47D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E4103DA"/>
    <w:multiLevelType w:val="multilevel"/>
    <w:tmpl w:val="E4BC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BE0B8E"/>
    <w:multiLevelType w:val="hybridMultilevel"/>
    <w:tmpl w:val="3452B162"/>
    <w:lvl w:ilvl="0" w:tplc="7688DA56">
      <w:start w:val="1"/>
      <w:numFmt w:val="bullet"/>
      <w:lvlText w:val=""/>
      <w:lvlJc w:val="left"/>
      <w:pPr>
        <w:ind w:left="360" w:hanging="360"/>
      </w:pPr>
      <w:rPr>
        <w:rFonts w:ascii="Symbol" w:hAnsi="Symbol" w:hint="default"/>
      </w:rPr>
    </w:lvl>
    <w:lvl w:ilvl="1" w:tplc="D1D8CF8E">
      <w:start w:val="1"/>
      <w:numFmt w:val="bullet"/>
      <w:lvlText w:val="o"/>
      <w:lvlJc w:val="left"/>
      <w:pPr>
        <w:ind w:left="1080" w:hanging="360"/>
      </w:pPr>
      <w:rPr>
        <w:rFonts w:ascii="Courier New" w:hAnsi="Courier New" w:hint="default"/>
      </w:rPr>
    </w:lvl>
    <w:lvl w:ilvl="2" w:tplc="1A0EC96A">
      <w:start w:val="1"/>
      <w:numFmt w:val="bullet"/>
      <w:lvlText w:val=""/>
      <w:lvlJc w:val="left"/>
      <w:pPr>
        <w:ind w:left="1800" w:hanging="360"/>
      </w:pPr>
      <w:rPr>
        <w:rFonts w:ascii="Wingdings" w:hAnsi="Wingdings" w:hint="default"/>
      </w:rPr>
    </w:lvl>
    <w:lvl w:ilvl="3" w:tplc="81A2C48E">
      <w:start w:val="1"/>
      <w:numFmt w:val="bullet"/>
      <w:lvlText w:val=""/>
      <w:lvlJc w:val="left"/>
      <w:pPr>
        <w:ind w:left="2520" w:hanging="360"/>
      </w:pPr>
      <w:rPr>
        <w:rFonts w:ascii="Symbol" w:hAnsi="Symbol" w:hint="default"/>
      </w:rPr>
    </w:lvl>
    <w:lvl w:ilvl="4" w:tplc="1EC23E2A">
      <w:start w:val="1"/>
      <w:numFmt w:val="bullet"/>
      <w:lvlText w:val="o"/>
      <w:lvlJc w:val="left"/>
      <w:pPr>
        <w:ind w:left="3240" w:hanging="360"/>
      </w:pPr>
      <w:rPr>
        <w:rFonts w:ascii="Courier New" w:hAnsi="Courier New" w:hint="default"/>
      </w:rPr>
    </w:lvl>
    <w:lvl w:ilvl="5" w:tplc="2EFE180A">
      <w:start w:val="1"/>
      <w:numFmt w:val="bullet"/>
      <w:lvlText w:val=""/>
      <w:lvlJc w:val="left"/>
      <w:pPr>
        <w:ind w:left="3960" w:hanging="360"/>
      </w:pPr>
      <w:rPr>
        <w:rFonts w:ascii="Wingdings" w:hAnsi="Wingdings" w:hint="default"/>
      </w:rPr>
    </w:lvl>
    <w:lvl w:ilvl="6" w:tplc="9EEC6D70">
      <w:start w:val="1"/>
      <w:numFmt w:val="bullet"/>
      <w:lvlText w:val=""/>
      <w:lvlJc w:val="left"/>
      <w:pPr>
        <w:ind w:left="4680" w:hanging="360"/>
      </w:pPr>
      <w:rPr>
        <w:rFonts w:ascii="Symbol" w:hAnsi="Symbol" w:hint="default"/>
      </w:rPr>
    </w:lvl>
    <w:lvl w:ilvl="7" w:tplc="BFBC44DC">
      <w:start w:val="1"/>
      <w:numFmt w:val="bullet"/>
      <w:lvlText w:val="o"/>
      <w:lvlJc w:val="left"/>
      <w:pPr>
        <w:ind w:left="5400" w:hanging="360"/>
      </w:pPr>
      <w:rPr>
        <w:rFonts w:ascii="Courier New" w:hAnsi="Courier New" w:hint="default"/>
      </w:rPr>
    </w:lvl>
    <w:lvl w:ilvl="8" w:tplc="23BA07D6">
      <w:start w:val="1"/>
      <w:numFmt w:val="bullet"/>
      <w:lvlText w:val=""/>
      <w:lvlJc w:val="left"/>
      <w:pPr>
        <w:ind w:left="6120" w:hanging="360"/>
      </w:pPr>
      <w:rPr>
        <w:rFonts w:ascii="Wingdings" w:hAnsi="Wingdings" w:hint="default"/>
      </w:rPr>
    </w:lvl>
  </w:abstractNum>
  <w:abstractNum w:abstractNumId="4"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01013"/>
    <w:multiLevelType w:val="multilevel"/>
    <w:tmpl w:val="C3A2B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A39159"/>
    <w:multiLevelType w:val="hybridMultilevel"/>
    <w:tmpl w:val="F2B0EA86"/>
    <w:lvl w:ilvl="0" w:tplc="C82CCE08">
      <w:start w:val="1"/>
      <w:numFmt w:val="bullet"/>
      <w:lvlText w:val=""/>
      <w:lvlJc w:val="left"/>
      <w:pPr>
        <w:ind w:left="720" w:hanging="360"/>
      </w:pPr>
      <w:rPr>
        <w:rFonts w:ascii="Symbol" w:hAnsi="Symbol" w:hint="default"/>
      </w:rPr>
    </w:lvl>
    <w:lvl w:ilvl="1" w:tplc="C662235A">
      <w:start w:val="1"/>
      <w:numFmt w:val="bullet"/>
      <w:lvlText w:val="o"/>
      <w:lvlJc w:val="left"/>
      <w:pPr>
        <w:ind w:left="1440" w:hanging="360"/>
      </w:pPr>
      <w:rPr>
        <w:rFonts w:ascii="Courier New" w:hAnsi="Courier New" w:hint="default"/>
      </w:rPr>
    </w:lvl>
    <w:lvl w:ilvl="2" w:tplc="886C25AE">
      <w:start w:val="1"/>
      <w:numFmt w:val="bullet"/>
      <w:lvlText w:val=""/>
      <w:lvlJc w:val="left"/>
      <w:pPr>
        <w:ind w:left="2160" w:hanging="360"/>
      </w:pPr>
      <w:rPr>
        <w:rFonts w:ascii="Wingdings" w:hAnsi="Wingdings" w:hint="default"/>
      </w:rPr>
    </w:lvl>
    <w:lvl w:ilvl="3" w:tplc="0E9CDF84">
      <w:start w:val="1"/>
      <w:numFmt w:val="bullet"/>
      <w:lvlText w:val=""/>
      <w:lvlJc w:val="left"/>
      <w:pPr>
        <w:ind w:left="2880" w:hanging="360"/>
      </w:pPr>
      <w:rPr>
        <w:rFonts w:ascii="Symbol" w:hAnsi="Symbol" w:hint="default"/>
      </w:rPr>
    </w:lvl>
    <w:lvl w:ilvl="4" w:tplc="55F8703A">
      <w:start w:val="1"/>
      <w:numFmt w:val="bullet"/>
      <w:lvlText w:val="o"/>
      <w:lvlJc w:val="left"/>
      <w:pPr>
        <w:ind w:left="3600" w:hanging="360"/>
      </w:pPr>
      <w:rPr>
        <w:rFonts w:ascii="Courier New" w:hAnsi="Courier New" w:hint="default"/>
      </w:rPr>
    </w:lvl>
    <w:lvl w:ilvl="5" w:tplc="C42EA3DA">
      <w:start w:val="1"/>
      <w:numFmt w:val="bullet"/>
      <w:lvlText w:val=""/>
      <w:lvlJc w:val="left"/>
      <w:pPr>
        <w:ind w:left="4320" w:hanging="360"/>
      </w:pPr>
      <w:rPr>
        <w:rFonts w:ascii="Wingdings" w:hAnsi="Wingdings" w:hint="default"/>
      </w:rPr>
    </w:lvl>
    <w:lvl w:ilvl="6" w:tplc="5AB89A5E">
      <w:start w:val="1"/>
      <w:numFmt w:val="bullet"/>
      <w:lvlText w:val=""/>
      <w:lvlJc w:val="left"/>
      <w:pPr>
        <w:ind w:left="5040" w:hanging="360"/>
      </w:pPr>
      <w:rPr>
        <w:rFonts w:ascii="Symbol" w:hAnsi="Symbol" w:hint="default"/>
      </w:rPr>
    </w:lvl>
    <w:lvl w:ilvl="7" w:tplc="80E66050">
      <w:start w:val="1"/>
      <w:numFmt w:val="bullet"/>
      <w:lvlText w:val="o"/>
      <w:lvlJc w:val="left"/>
      <w:pPr>
        <w:ind w:left="5760" w:hanging="360"/>
      </w:pPr>
      <w:rPr>
        <w:rFonts w:ascii="Courier New" w:hAnsi="Courier New" w:hint="default"/>
      </w:rPr>
    </w:lvl>
    <w:lvl w:ilvl="8" w:tplc="6A06C8E0">
      <w:start w:val="1"/>
      <w:numFmt w:val="bullet"/>
      <w:lvlText w:val=""/>
      <w:lvlJc w:val="left"/>
      <w:pPr>
        <w:ind w:left="6480" w:hanging="360"/>
      </w:pPr>
      <w:rPr>
        <w:rFonts w:ascii="Wingdings" w:hAnsi="Wingdings" w:hint="default"/>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74D4EE8"/>
    <w:multiLevelType w:val="hybridMultilevel"/>
    <w:tmpl w:val="D08C2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B5447E"/>
    <w:multiLevelType w:val="hybridMultilevel"/>
    <w:tmpl w:val="BB3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9A7593"/>
    <w:multiLevelType w:val="multilevel"/>
    <w:tmpl w:val="B182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5C5C60"/>
    <w:multiLevelType w:val="multilevel"/>
    <w:tmpl w:val="45543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125996">
    <w:abstractNumId w:val="18"/>
  </w:num>
  <w:num w:numId="2" w16cid:durableId="1249968145">
    <w:abstractNumId w:val="15"/>
  </w:num>
  <w:num w:numId="3" w16cid:durableId="1207451588">
    <w:abstractNumId w:val="5"/>
  </w:num>
  <w:num w:numId="4" w16cid:durableId="569999311">
    <w:abstractNumId w:val="13"/>
  </w:num>
  <w:num w:numId="5" w16cid:durableId="2040155363">
    <w:abstractNumId w:val="12"/>
  </w:num>
  <w:num w:numId="6" w16cid:durableId="834035716">
    <w:abstractNumId w:val="1"/>
  </w:num>
  <w:num w:numId="7" w16cid:durableId="500971367">
    <w:abstractNumId w:val="17"/>
  </w:num>
  <w:num w:numId="8" w16cid:durableId="2133669853">
    <w:abstractNumId w:val="9"/>
  </w:num>
  <w:num w:numId="9" w16cid:durableId="534272944">
    <w:abstractNumId w:val="19"/>
  </w:num>
  <w:num w:numId="10" w16cid:durableId="137919288">
    <w:abstractNumId w:val="14"/>
  </w:num>
  <w:num w:numId="11" w16cid:durableId="1868904602">
    <w:abstractNumId w:val="22"/>
  </w:num>
  <w:num w:numId="12" w16cid:durableId="1682077828">
    <w:abstractNumId w:val="23"/>
  </w:num>
  <w:num w:numId="13" w16cid:durableId="2093618914">
    <w:abstractNumId w:val="20"/>
  </w:num>
  <w:num w:numId="14" w16cid:durableId="339551807">
    <w:abstractNumId w:val="11"/>
  </w:num>
  <w:num w:numId="15" w16cid:durableId="2007895453">
    <w:abstractNumId w:val="6"/>
  </w:num>
  <w:num w:numId="16" w16cid:durableId="1849251288">
    <w:abstractNumId w:val="0"/>
  </w:num>
  <w:num w:numId="17" w16cid:durableId="792476964">
    <w:abstractNumId w:val="21"/>
  </w:num>
  <w:num w:numId="18" w16cid:durableId="1393505039">
    <w:abstractNumId w:val="4"/>
  </w:num>
  <w:num w:numId="19" w16cid:durableId="1799060792">
    <w:abstractNumId w:val="2"/>
  </w:num>
  <w:num w:numId="20" w16cid:durableId="432938174">
    <w:abstractNumId w:val="7"/>
  </w:num>
  <w:num w:numId="21" w16cid:durableId="1424568795">
    <w:abstractNumId w:val="24"/>
  </w:num>
  <w:num w:numId="22" w16cid:durableId="2015449888">
    <w:abstractNumId w:val="25"/>
  </w:num>
  <w:num w:numId="23" w16cid:durableId="1765414141">
    <w:abstractNumId w:val="3"/>
  </w:num>
  <w:num w:numId="24" w16cid:durableId="730081403">
    <w:abstractNumId w:val="8"/>
  </w:num>
  <w:num w:numId="25" w16cid:durableId="145245413">
    <w:abstractNumId w:val="10"/>
  </w:num>
  <w:num w:numId="26" w16cid:durableId="19910543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5012"/>
    <w:rsid w:val="00071050"/>
    <w:rsid w:val="0008305B"/>
    <w:rsid w:val="0009405F"/>
    <w:rsid w:val="000A07A3"/>
    <w:rsid w:val="000C2C71"/>
    <w:rsid w:val="000C5859"/>
    <w:rsid w:val="000D203F"/>
    <w:rsid w:val="000E0064"/>
    <w:rsid w:val="000E0A90"/>
    <w:rsid w:val="000E1401"/>
    <w:rsid w:val="0011355A"/>
    <w:rsid w:val="00133457"/>
    <w:rsid w:val="00134AD2"/>
    <w:rsid w:val="00140F1F"/>
    <w:rsid w:val="0014603D"/>
    <w:rsid w:val="00146224"/>
    <w:rsid w:val="00147A55"/>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3660"/>
    <w:rsid w:val="001E5865"/>
    <w:rsid w:val="001E7A13"/>
    <w:rsid w:val="001F0140"/>
    <w:rsid w:val="001F4320"/>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61E4"/>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139E"/>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D3606"/>
    <w:rsid w:val="004E5DF9"/>
    <w:rsid w:val="00511DB3"/>
    <w:rsid w:val="005122D4"/>
    <w:rsid w:val="005146FC"/>
    <w:rsid w:val="0052053D"/>
    <w:rsid w:val="00527073"/>
    <w:rsid w:val="00545D17"/>
    <w:rsid w:val="00553BC1"/>
    <w:rsid w:val="00560FE0"/>
    <w:rsid w:val="005703EA"/>
    <w:rsid w:val="005A0CBD"/>
    <w:rsid w:val="005A5423"/>
    <w:rsid w:val="005A7208"/>
    <w:rsid w:val="005B7B81"/>
    <w:rsid w:val="005C33E4"/>
    <w:rsid w:val="005C4A5D"/>
    <w:rsid w:val="005E02F8"/>
    <w:rsid w:val="005E4261"/>
    <w:rsid w:val="00603DCA"/>
    <w:rsid w:val="006062CE"/>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4BE1"/>
    <w:rsid w:val="006D0593"/>
    <w:rsid w:val="006D53C0"/>
    <w:rsid w:val="006D5A8F"/>
    <w:rsid w:val="006E539B"/>
    <w:rsid w:val="007004E7"/>
    <w:rsid w:val="007007EB"/>
    <w:rsid w:val="00702008"/>
    <w:rsid w:val="00706DEE"/>
    <w:rsid w:val="007119E8"/>
    <w:rsid w:val="00715C5C"/>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73E14"/>
    <w:rsid w:val="008A0E9C"/>
    <w:rsid w:val="008B2823"/>
    <w:rsid w:val="008B7E66"/>
    <w:rsid w:val="008C0064"/>
    <w:rsid w:val="008D38DD"/>
    <w:rsid w:val="008D3BED"/>
    <w:rsid w:val="008E30E8"/>
    <w:rsid w:val="008E45DE"/>
    <w:rsid w:val="008F0060"/>
    <w:rsid w:val="0090144A"/>
    <w:rsid w:val="00901491"/>
    <w:rsid w:val="00904759"/>
    <w:rsid w:val="009113EB"/>
    <w:rsid w:val="00917154"/>
    <w:rsid w:val="0092013B"/>
    <w:rsid w:val="00926950"/>
    <w:rsid w:val="00930F70"/>
    <w:rsid w:val="009312C9"/>
    <w:rsid w:val="0093486C"/>
    <w:rsid w:val="009356C8"/>
    <w:rsid w:val="0095049E"/>
    <w:rsid w:val="009518D5"/>
    <w:rsid w:val="00952DEC"/>
    <w:rsid w:val="00955877"/>
    <w:rsid w:val="00957E9D"/>
    <w:rsid w:val="009637F4"/>
    <w:rsid w:val="009701B3"/>
    <w:rsid w:val="009852C7"/>
    <w:rsid w:val="0099260C"/>
    <w:rsid w:val="009962E4"/>
    <w:rsid w:val="009A6454"/>
    <w:rsid w:val="009B1CAF"/>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84083"/>
    <w:rsid w:val="00A9132F"/>
    <w:rsid w:val="00AA34E4"/>
    <w:rsid w:val="00AA37AF"/>
    <w:rsid w:val="00AA38A5"/>
    <w:rsid w:val="00AA63DF"/>
    <w:rsid w:val="00AB1769"/>
    <w:rsid w:val="00AB4210"/>
    <w:rsid w:val="00AB4F13"/>
    <w:rsid w:val="00AB77CB"/>
    <w:rsid w:val="00AC1409"/>
    <w:rsid w:val="00AC4381"/>
    <w:rsid w:val="00AD6156"/>
    <w:rsid w:val="00AD6B05"/>
    <w:rsid w:val="00AE1AF4"/>
    <w:rsid w:val="00AF4C3C"/>
    <w:rsid w:val="00B01C1B"/>
    <w:rsid w:val="00B048DD"/>
    <w:rsid w:val="00B32036"/>
    <w:rsid w:val="00B351D5"/>
    <w:rsid w:val="00B45D5B"/>
    <w:rsid w:val="00B51CBF"/>
    <w:rsid w:val="00B70AA8"/>
    <w:rsid w:val="00B71E78"/>
    <w:rsid w:val="00B73CC8"/>
    <w:rsid w:val="00B74FA4"/>
    <w:rsid w:val="00B772E9"/>
    <w:rsid w:val="00B80634"/>
    <w:rsid w:val="00B82313"/>
    <w:rsid w:val="00B910CA"/>
    <w:rsid w:val="00B94D39"/>
    <w:rsid w:val="00B9581D"/>
    <w:rsid w:val="00BA2242"/>
    <w:rsid w:val="00BA3D57"/>
    <w:rsid w:val="00BA4906"/>
    <w:rsid w:val="00BA4BA1"/>
    <w:rsid w:val="00BB62D9"/>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72AD"/>
    <w:rsid w:val="00CE5A14"/>
    <w:rsid w:val="00CF5952"/>
    <w:rsid w:val="00D07AC6"/>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5940"/>
    <w:rsid w:val="00E0653F"/>
    <w:rsid w:val="00E110F5"/>
    <w:rsid w:val="00E15DA5"/>
    <w:rsid w:val="00E16E73"/>
    <w:rsid w:val="00E251C4"/>
    <w:rsid w:val="00E509CB"/>
    <w:rsid w:val="00E618F5"/>
    <w:rsid w:val="00E63885"/>
    <w:rsid w:val="00E65C49"/>
    <w:rsid w:val="00E7084A"/>
    <w:rsid w:val="00E72347"/>
    <w:rsid w:val="00E73090"/>
    <w:rsid w:val="00E756F2"/>
    <w:rsid w:val="00E802DF"/>
    <w:rsid w:val="00E845A5"/>
    <w:rsid w:val="00EB569A"/>
    <w:rsid w:val="00EC0FC8"/>
    <w:rsid w:val="00EC50E4"/>
    <w:rsid w:val="00ED1E20"/>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0FE78C6"/>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3CC3689"/>
    <w:rsid w:val="44880DA2"/>
    <w:rsid w:val="49E87CA5"/>
    <w:rsid w:val="4F3613D7"/>
    <w:rsid w:val="508591AD"/>
    <w:rsid w:val="50CF74CB"/>
    <w:rsid w:val="514B63FF"/>
    <w:rsid w:val="549C75BC"/>
    <w:rsid w:val="561ED522"/>
    <w:rsid w:val="57379EAC"/>
    <w:rsid w:val="591D0301"/>
    <w:rsid w:val="5C270822"/>
    <w:rsid w:val="5DF0AF2C"/>
    <w:rsid w:val="627F656C"/>
    <w:rsid w:val="65C0B5B4"/>
    <w:rsid w:val="6801E20C"/>
    <w:rsid w:val="68E5FBD0"/>
    <w:rsid w:val="6A22ECCA"/>
    <w:rsid w:val="6A7346F2"/>
    <w:rsid w:val="6C47D0CA"/>
    <w:rsid w:val="6F8A4AEB"/>
    <w:rsid w:val="74C0E012"/>
    <w:rsid w:val="7544C238"/>
    <w:rsid w:val="76E3F82D"/>
    <w:rsid w:val="7BDC0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48659">
      <w:bodyDiv w:val="1"/>
      <w:marLeft w:val="0"/>
      <w:marRight w:val="0"/>
      <w:marTop w:val="0"/>
      <w:marBottom w:val="0"/>
      <w:divBdr>
        <w:top w:val="none" w:sz="0" w:space="0" w:color="auto"/>
        <w:left w:val="none" w:sz="0" w:space="0" w:color="auto"/>
        <w:bottom w:val="none" w:sz="0" w:space="0" w:color="auto"/>
        <w:right w:val="none" w:sz="0" w:space="0" w:color="auto"/>
      </w:divBdr>
      <w:divsChild>
        <w:div w:id="1537500275">
          <w:marLeft w:val="0"/>
          <w:marRight w:val="0"/>
          <w:marTop w:val="0"/>
          <w:marBottom w:val="0"/>
          <w:divBdr>
            <w:top w:val="none" w:sz="0" w:space="0" w:color="auto"/>
            <w:left w:val="none" w:sz="0" w:space="0" w:color="auto"/>
            <w:bottom w:val="none" w:sz="0" w:space="0" w:color="auto"/>
            <w:right w:val="none" w:sz="0" w:space="0" w:color="auto"/>
          </w:divBdr>
          <w:divsChild>
            <w:div w:id="1915972886">
              <w:marLeft w:val="0"/>
              <w:marRight w:val="0"/>
              <w:marTop w:val="0"/>
              <w:marBottom w:val="0"/>
              <w:divBdr>
                <w:top w:val="none" w:sz="0" w:space="0" w:color="auto"/>
                <w:left w:val="none" w:sz="0" w:space="0" w:color="auto"/>
                <w:bottom w:val="none" w:sz="0" w:space="0" w:color="auto"/>
                <w:right w:val="none" w:sz="0" w:space="0" w:color="auto"/>
              </w:divBdr>
            </w:div>
            <w:div w:id="288823012">
              <w:marLeft w:val="0"/>
              <w:marRight w:val="0"/>
              <w:marTop w:val="0"/>
              <w:marBottom w:val="0"/>
              <w:divBdr>
                <w:top w:val="none" w:sz="0" w:space="0" w:color="auto"/>
                <w:left w:val="none" w:sz="0" w:space="0" w:color="auto"/>
                <w:bottom w:val="none" w:sz="0" w:space="0" w:color="auto"/>
                <w:right w:val="none" w:sz="0" w:space="0" w:color="auto"/>
              </w:divBdr>
            </w:div>
            <w:div w:id="43721601">
              <w:marLeft w:val="0"/>
              <w:marRight w:val="0"/>
              <w:marTop w:val="0"/>
              <w:marBottom w:val="0"/>
              <w:divBdr>
                <w:top w:val="none" w:sz="0" w:space="0" w:color="auto"/>
                <w:left w:val="none" w:sz="0" w:space="0" w:color="auto"/>
                <w:bottom w:val="none" w:sz="0" w:space="0" w:color="auto"/>
                <w:right w:val="none" w:sz="0" w:space="0" w:color="auto"/>
              </w:divBdr>
            </w:div>
            <w:div w:id="1288463089">
              <w:marLeft w:val="0"/>
              <w:marRight w:val="0"/>
              <w:marTop w:val="0"/>
              <w:marBottom w:val="0"/>
              <w:divBdr>
                <w:top w:val="none" w:sz="0" w:space="0" w:color="auto"/>
                <w:left w:val="none" w:sz="0" w:space="0" w:color="auto"/>
                <w:bottom w:val="none" w:sz="0" w:space="0" w:color="auto"/>
                <w:right w:val="none" w:sz="0" w:space="0" w:color="auto"/>
              </w:divBdr>
            </w:div>
          </w:divsChild>
        </w:div>
        <w:div w:id="1530214274">
          <w:marLeft w:val="0"/>
          <w:marRight w:val="0"/>
          <w:marTop w:val="0"/>
          <w:marBottom w:val="0"/>
          <w:divBdr>
            <w:top w:val="none" w:sz="0" w:space="0" w:color="auto"/>
            <w:left w:val="none" w:sz="0" w:space="0" w:color="auto"/>
            <w:bottom w:val="none" w:sz="0" w:space="0" w:color="auto"/>
            <w:right w:val="none" w:sz="0" w:space="0" w:color="auto"/>
          </w:divBdr>
          <w:divsChild>
            <w:div w:id="1657765418">
              <w:marLeft w:val="0"/>
              <w:marRight w:val="0"/>
              <w:marTop w:val="0"/>
              <w:marBottom w:val="0"/>
              <w:divBdr>
                <w:top w:val="none" w:sz="0" w:space="0" w:color="auto"/>
                <w:left w:val="none" w:sz="0" w:space="0" w:color="auto"/>
                <w:bottom w:val="none" w:sz="0" w:space="0" w:color="auto"/>
                <w:right w:val="none" w:sz="0" w:space="0" w:color="auto"/>
              </w:divBdr>
            </w:div>
            <w:div w:id="1614552541">
              <w:marLeft w:val="0"/>
              <w:marRight w:val="0"/>
              <w:marTop w:val="0"/>
              <w:marBottom w:val="0"/>
              <w:divBdr>
                <w:top w:val="none" w:sz="0" w:space="0" w:color="auto"/>
                <w:left w:val="none" w:sz="0" w:space="0" w:color="auto"/>
                <w:bottom w:val="none" w:sz="0" w:space="0" w:color="auto"/>
                <w:right w:val="none" w:sz="0" w:space="0" w:color="auto"/>
              </w:divBdr>
            </w:div>
            <w:div w:id="776566188">
              <w:marLeft w:val="0"/>
              <w:marRight w:val="0"/>
              <w:marTop w:val="0"/>
              <w:marBottom w:val="0"/>
              <w:divBdr>
                <w:top w:val="none" w:sz="0" w:space="0" w:color="auto"/>
                <w:left w:val="none" w:sz="0" w:space="0" w:color="auto"/>
                <w:bottom w:val="none" w:sz="0" w:space="0" w:color="auto"/>
                <w:right w:val="none" w:sz="0" w:space="0" w:color="auto"/>
              </w:divBdr>
            </w:div>
            <w:div w:id="18479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246569241">
      <w:bodyDiv w:val="1"/>
      <w:marLeft w:val="0"/>
      <w:marRight w:val="0"/>
      <w:marTop w:val="0"/>
      <w:marBottom w:val="0"/>
      <w:divBdr>
        <w:top w:val="none" w:sz="0" w:space="0" w:color="auto"/>
        <w:left w:val="none" w:sz="0" w:space="0" w:color="auto"/>
        <w:bottom w:val="none" w:sz="0" w:space="0" w:color="auto"/>
        <w:right w:val="none" w:sz="0" w:space="0" w:color="auto"/>
      </w:divBdr>
      <w:divsChild>
        <w:div w:id="1427266706">
          <w:marLeft w:val="0"/>
          <w:marRight w:val="0"/>
          <w:marTop w:val="0"/>
          <w:marBottom w:val="0"/>
          <w:divBdr>
            <w:top w:val="none" w:sz="0" w:space="0" w:color="auto"/>
            <w:left w:val="none" w:sz="0" w:space="0" w:color="auto"/>
            <w:bottom w:val="none" w:sz="0" w:space="0" w:color="auto"/>
            <w:right w:val="none" w:sz="0" w:space="0" w:color="auto"/>
          </w:divBdr>
          <w:divsChild>
            <w:div w:id="1826044632">
              <w:marLeft w:val="0"/>
              <w:marRight w:val="0"/>
              <w:marTop w:val="0"/>
              <w:marBottom w:val="0"/>
              <w:divBdr>
                <w:top w:val="none" w:sz="0" w:space="0" w:color="auto"/>
                <w:left w:val="none" w:sz="0" w:space="0" w:color="auto"/>
                <w:bottom w:val="none" w:sz="0" w:space="0" w:color="auto"/>
                <w:right w:val="none" w:sz="0" w:space="0" w:color="auto"/>
              </w:divBdr>
            </w:div>
            <w:div w:id="177889100">
              <w:marLeft w:val="0"/>
              <w:marRight w:val="0"/>
              <w:marTop w:val="0"/>
              <w:marBottom w:val="0"/>
              <w:divBdr>
                <w:top w:val="none" w:sz="0" w:space="0" w:color="auto"/>
                <w:left w:val="none" w:sz="0" w:space="0" w:color="auto"/>
                <w:bottom w:val="none" w:sz="0" w:space="0" w:color="auto"/>
                <w:right w:val="none" w:sz="0" w:space="0" w:color="auto"/>
              </w:divBdr>
            </w:div>
            <w:div w:id="575281895">
              <w:marLeft w:val="0"/>
              <w:marRight w:val="0"/>
              <w:marTop w:val="0"/>
              <w:marBottom w:val="0"/>
              <w:divBdr>
                <w:top w:val="none" w:sz="0" w:space="0" w:color="auto"/>
                <w:left w:val="none" w:sz="0" w:space="0" w:color="auto"/>
                <w:bottom w:val="none" w:sz="0" w:space="0" w:color="auto"/>
                <w:right w:val="none" w:sz="0" w:space="0" w:color="auto"/>
              </w:divBdr>
            </w:div>
            <w:div w:id="1380740256">
              <w:marLeft w:val="0"/>
              <w:marRight w:val="0"/>
              <w:marTop w:val="0"/>
              <w:marBottom w:val="0"/>
              <w:divBdr>
                <w:top w:val="none" w:sz="0" w:space="0" w:color="auto"/>
                <w:left w:val="none" w:sz="0" w:space="0" w:color="auto"/>
                <w:bottom w:val="none" w:sz="0" w:space="0" w:color="auto"/>
                <w:right w:val="none" w:sz="0" w:space="0" w:color="auto"/>
              </w:divBdr>
            </w:div>
          </w:divsChild>
        </w:div>
        <w:div w:id="1600795173">
          <w:marLeft w:val="0"/>
          <w:marRight w:val="0"/>
          <w:marTop w:val="0"/>
          <w:marBottom w:val="0"/>
          <w:divBdr>
            <w:top w:val="none" w:sz="0" w:space="0" w:color="auto"/>
            <w:left w:val="none" w:sz="0" w:space="0" w:color="auto"/>
            <w:bottom w:val="none" w:sz="0" w:space="0" w:color="auto"/>
            <w:right w:val="none" w:sz="0" w:space="0" w:color="auto"/>
          </w:divBdr>
          <w:divsChild>
            <w:div w:id="1276669786">
              <w:marLeft w:val="0"/>
              <w:marRight w:val="0"/>
              <w:marTop w:val="0"/>
              <w:marBottom w:val="0"/>
              <w:divBdr>
                <w:top w:val="none" w:sz="0" w:space="0" w:color="auto"/>
                <w:left w:val="none" w:sz="0" w:space="0" w:color="auto"/>
                <w:bottom w:val="none" w:sz="0" w:space="0" w:color="auto"/>
                <w:right w:val="none" w:sz="0" w:space="0" w:color="auto"/>
              </w:divBdr>
            </w:div>
            <w:div w:id="1107390168">
              <w:marLeft w:val="0"/>
              <w:marRight w:val="0"/>
              <w:marTop w:val="0"/>
              <w:marBottom w:val="0"/>
              <w:divBdr>
                <w:top w:val="none" w:sz="0" w:space="0" w:color="auto"/>
                <w:left w:val="none" w:sz="0" w:space="0" w:color="auto"/>
                <w:bottom w:val="none" w:sz="0" w:space="0" w:color="auto"/>
                <w:right w:val="none" w:sz="0" w:space="0" w:color="auto"/>
              </w:divBdr>
            </w:div>
            <w:div w:id="2106267632">
              <w:marLeft w:val="0"/>
              <w:marRight w:val="0"/>
              <w:marTop w:val="0"/>
              <w:marBottom w:val="0"/>
              <w:divBdr>
                <w:top w:val="none" w:sz="0" w:space="0" w:color="auto"/>
                <w:left w:val="none" w:sz="0" w:space="0" w:color="auto"/>
                <w:bottom w:val="none" w:sz="0" w:space="0" w:color="auto"/>
                <w:right w:val="none" w:sz="0" w:space="0" w:color="auto"/>
              </w:divBdr>
            </w:div>
            <w:div w:id="163186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A73AD84F82EF49A1AF33E7D4836B46" ma:contentTypeVersion="11" ma:contentTypeDescription="Create a new document." ma:contentTypeScope="" ma:versionID="ae2a18e303bf8b49df2ace8ab1d533b7">
  <xsd:schema xmlns:xsd="http://www.w3.org/2001/XMLSchema" xmlns:xs="http://www.w3.org/2001/XMLSchema" xmlns:p="http://schemas.microsoft.com/office/2006/metadata/properties" xmlns:ns2="6dc2b319-5a84-4b83-81e4-4441e0f5b494" xmlns:ns3="d52783a0-f3a3-4dc4-a23b-df74b4295f0f" targetNamespace="http://schemas.microsoft.com/office/2006/metadata/properties" ma:root="true" ma:fieldsID="8bd02322d2cfbca2c2b3c1d3c04827ba" ns2:_="" ns3:_="">
    <xsd:import namespace="6dc2b319-5a84-4b83-81e4-4441e0f5b494"/>
    <xsd:import namespace="d52783a0-f3a3-4dc4-a23b-df74b429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2b319-5a84-4b83-81e4-4441e0f5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783a0-f3a3-4dc4-a23b-df74b4295f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e6d85-d272-4519-95da-33ddef882c4f}" ma:internalName="TaxCatchAll" ma:showField="CatchAllData" ma:web="d52783a0-f3a3-4dc4-a23b-df74b4295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52783a0-f3a3-4dc4-a23b-df74b4295f0f" xsi:nil="true"/>
    <lcf76f155ced4ddcb4097134ff3c332f xmlns="6dc2b319-5a84-4b83-81e4-4441e0f5b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1B27BEEE-86BD-483B-B8CE-7381DD634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2b319-5a84-4b83-81e4-4441e0f5b494"/>
    <ds:schemaRef ds:uri="d52783a0-f3a3-4dc4-a23b-df74b429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d52783a0-f3a3-4dc4-a23b-df74b4295f0f"/>
    <ds:schemaRef ds:uri="6dc2b319-5a84-4b83-81e4-4441e0f5b49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1588</Words>
  <Characters>10089</Characters>
  <Application>Microsoft Office Word</Application>
  <DocSecurity>0</DocSecurity>
  <Lines>171</Lines>
  <Paragraphs>97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2</cp:revision>
  <cp:lastPrinted>2019-09-04T14:35:00Z</cp:lastPrinted>
  <dcterms:created xsi:type="dcterms:W3CDTF">2026-02-25T10:21:00Z</dcterms:created>
  <dcterms:modified xsi:type="dcterms:W3CDTF">2026-02-25T10:21:00Z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0x010100C2A73AD84F82EF49A1AF33E7D4836B46</vt:lpwstr>
  </property>
  <property fmtid="{D5CDD505-2E9C-101B-9397-08002B2CF9AE}" pid="3" name="MediaServiceImageTags">
    <vt:lpwstr/>
  </property>
</Properties>
</file>