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3D903B8" w:rsidR="00C31C3C" w:rsidRPr="00805BCC" w:rsidRDefault="003B6333" w:rsidP="004118C9">
            <w:pPr>
              <w:tabs>
                <w:tab w:val="left" w:pos="2552"/>
              </w:tabs>
              <w:rPr>
                <w:rFonts w:ascii="Arial" w:hAnsi="Arial" w:cs="Arial"/>
                <w:b/>
                <w:sz w:val="18"/>
                <w:szCs w:val="18"/>
              </w:rPr>
            </w:pPr>
            <w:r>
              <w:rPr>
                <w:rFonts w:ascii="Arial" w:hAnsi="Arial" w:cs="Arial"/>
                <w:b/>
                <w:sz w:val="18"/>
                <w:szCs w:val="18"/>
              </w:rPr>
              <w:t>Complaints and Appeals Officer</w:t>
            </w:r>
          </w:p>
        </w:tc>
      </w:tr>
      <w:tr w:rsidR="00C31C3C" w:rsidRPr="00805BCC" w14:paraId="562E83AE" w14:textId="77777777" w:rsidTr="00C31C3C">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32374CED" w:rsidR="00C31C3C" w:rsidRPr="00805BCC" w:rsidRDefault="003B6333" w:rsidP="004118C9">
            <w:pPr>
              <w:tabs>
                <w:tab w:val="left" w:pos="2552"/>
              </w:tabs>
              <w:rPr>
                <w:rFonts w:ascii="Arial" w:hAnsi="Arial" w:cs="Arial"/>
                <w:b/>
                <w:sz w:val="18"/>
                <w:szCs w:val="18"/>
              </w:rPr>
            </w:pPr>
            <w:r w:rsidRPr="003B6333">
              <w:rPr>
                <w:rFonts w:ascii="Arial" w:hAnsi="Arial" w:cs="Arial"/>
                <w:b/>
                <w:sz w:val="18"/>
                <w:szCs w:val="18"/>
              </w:rPr>
              <w:t>Governance &amp; Legal Services (Vice-Chancellor's Group)</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77080FD" w:rsidR="00C31C3C" w:rsidRPr="00805BCC" w:rsidRDefault="003B6333"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2E53A3AF" w:rsidR="00C31C3C" w:rsidRPr="00805BCC" w:rsidRDefault="00750147" w:rsidP="004118C9">
            <w:pPr>
              <w:tabs>
                <w:tab w:val="left" w:pos="2552"/>
              </w:tabs>
              <w:rPr>
                <w:rFonts w:ascii="Arial" w:hAnsi="Arial" w:cs="Arial"/>
                <w:b/>
                <w:sz w:val="18"/>
                <w:szCs w:val="18"/>
              </w:rPr>
            </w:pPr>
            <w:r>
              <w:rPr>
                <w:rFonts w:ascii="Arial" w:hAnsi="Arial" w:cs="Arial"/>
                <w:b/>
                <w:sz w:val="18"/>
                <w:szCs w:val="18"/>
              </w:rPr>
              <w:t xml:space="preserve">Docklands, </w:t>
            </w:r>
            <w:r w:rsidR="003B6333">
              <w:rPr>
                <w:rFonts w:ascii="Arial" w:hAnsi="Arial" w:cs="Arial"/>
                <w:b/>
                <w:sz w:val="18"/>
                <w:szCs w:val="18"/>
              </w:rPr>
              <w:t>Hybrid</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72617801" w:rsidR="00C31C3C" w:rsidRPr="00805BCC" w:rsidRDefault="003B6333" w:rsidP="004118C9">
            <w:pPr>
              <w:tabs>
                <w:tab w:val="left" w:pos="2552"/>
              </w:tabs>
              <w:rPr>
                <w:rFonts w:ascii="Arial" w:hAnsi="Arial" w:cs="Arial"/>
                <w:b/>
                <w:sz w:val="18"/>
                <w:szCs w:val="18"/>
              </w:rPr>
            </w:pPr>
            <w:r>
              <w:rPr>
                <w:rFonts w:ascii="Arial" w:hAnsi="Arial" w:cs="Arial"/>
                <w:b/>
                <w:sz w:val="18"/>
                <w:szCs w:val="18"/>
              </w:rPr>
              <w:t>Complaints and Appeals Managing Officer</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7C5563C4" w:rsidR="00C31C3C" w:rsidRPr="00805BCC" w:rsidRDefault="003B6333" w:rsidP="004118C9">
            <w:pPr>
              <w:tabs>
                <w:tab w:val="left" w:pos="2552"/>
              </w:tabs>
              <w:rPr>
                <w:rFonts w:ascii="Arial" w:hAnsi="Arial" w:cs="Arial"/>
                <w:b/>
                <w:sz w:val="18"/>
                <w:szCs w:val="18"/>
              </w:rPr>
            </w:pPr>
            <w:r>
              <w:rPr>
                <w:rFonts w:ascii="Arial" w:hAnsi="Arial" w:cs="Arial"/>
                <w:b/>
                <w:sz w:val="18"/>
                <w:szCs w:val="18"/>
              </w:rPr>
              <w:t>N/A</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191CE7A2" w:rsidR="00C31C3C" w:rsidRPr="00805BCC" w:rsidRDefault="00790DBC" w:rsidP="004118C9">
            <w:pPr>
              <w:tabs>
                <w:tab w:val="left" w:pos="2552"/>
              </w:tabs>
              <w:rPr>
                <w:rFonts w:ascii="Arial" w:hAnsi="Arial" w:cs="Arial"/>
                <w:b/>
                <w:sz w:val="18"/>
                <w:szCs w:val="18"/>
              </w:rPr>
            </w:pPr>
            <w:r>
              <w:rPr>
                <w:rFonts w:ascii="Arial" w:hAnsi="Arial" w:cs="Arial"/>
                <w:b/>
                <w:sz w:val="18"/>
                <w:szCs w:val="18"/>
              </w:rPr>
              <w:t>Schools, Academic Registry, Data Protection Office, Student Services</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4EF8D86B" w:rsidR="00A03F9F" w:rsidRPr="00805BCC" w:rsidRDefault="00790DBC" w:rsidP="004118C9">
            <w:pPr>
              <w:tabs>
                <w:tab w:val="left" w:pos="2552"/>
              </w:tabs>
              <w:rPr>
                <w:rFonts w:ascii="Arial" w:hAnsi="Arial" w:cs="Arial"/>
                <w:b/>
                <w:sz w:val="18"/>
                <w:szCs w:val="18"/>
              </w:rPr>
            </w:pPr>
            <w:r>
              <w:rPr>
                <w:rFonts w:ascii="Arial" w:hAnsi="Arial" w:cs="Arial"/>
                <w:b/>
                <w:sz w:val="18"/>
                <w:szCs w:val="18"/>
              </w:rPr>
              <w:t>Office of the Independent Adjudicator</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2F3D55B4" w:rsidR="00C31C3C" w:rsidRPr="00805BCC" w:rsidRDefault="00750147" w:rsidP="004118C9">
            <w:pPr>
              <w:tabs>
                <w:tab w:val="left" w:pos="2552"/>
              </w:tabs>
              <w:rPr>
                <w:rFonts w:ascii="Arial" w:hAnsi="Arial" w:cs="Arial"/>
                <w:b/>
                <w:sz w:val="18"/>
                <w:szCs w:val="18"/>
              </w:rPr>
            </w:pPr>
            <w:r>
              <w:rPr>
                <w:rFonts w:ascii="Arial" w:hAnsi="Arial" w:cs="Arial"/>
                <w:b/>
                <w:sz w:val="18"/>
                <w:szCs w:val="18"/>
              </w:rPr>
              <w:t xml:space="preserve">Permanent, 1FTE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Default="00653A1D" w:rsidP="002C4E4E">
      <w:pPr>
        <w:jc w:val="both"/>
        <w:rPr>
          <w:rFonts w:ascii="Arial" w:hAnsi="Arial" w:cs="Arial"/>
          <w:b/>
          <w:bCs/>
          <w:sz w:val="18"/>
          <w:szCs w:val="18"/>
        </w:rPr>
      </w:pPr>
      <w:r>
        <w:rPr>
          <w:rFonts w:ascii="Arial" w:hAnsi="Arial" w:cs="Arial"/>
          <w:b/>
          <w:bCs/>
          <w:sz w:val="18"/>
          <w:szCs w:val="18"/>
        </w:rPr>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1132B30D" w14:textId="77777777" w:rsidR="00CD72AD" w:rsidRDefault="00CD72AD" w:rsidP="002C4E4E">
      <w:pPr>
        <w:jc w:val="both"/>
        <w:rPr>
          <w:rFonts w:ascii="Arial" w:hAnsi="Arial" w:cs="Arial"/>
          <w:b/>
          <w:bCs/>
          <w:sz w:val="18"/>
          <w:szCs w:val="18"/>
        </w:rPr>
      </w:pPr>
    </w:p>
    <w:p w14:paraId="04616B1D" w14:textId="696951A3" w:rsidR="0090144A" w:rsidRPr="00805BCC" w:rsidRDefault="003B6333" w:rsidP="007007EB">
      <w:pPr>
        <w:jc w:val="both"/>
        <w:rPr>
          <w:rFonts w:ascii="Arial" w:hAnsi="Arial" w:cs="Arial"/>
          <w:sz w:val="18"/>
          <w:szCs w:val="18"/>
        </w:rPr>
      </w:pPr>
      <w:r w:rsidRPr="003B6333">
        <w:rPr>
          <w:rFonts w:ascii="Arial" w:hAnsi="Arial" w:cs="Arial"/>
          <w:sz w:val="18"/>
          <w:szCs w:val="18"/>
        </w:rPr>
        <w:t>The Complaints and Appeals team manage the formal processes for students to raise concerns and challenge decisions related to their academic progress, conduct, or other aspects of their university experience. They ensure these processes are fair, independent, and transparent. The team contributes to the overall quality of the student experience and the university's adherence to academic standards.  </w:t>
      </w: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b/>
          <w:i/>
          <w:iCs/>
          <w:sz w:val="18"/>
          <w:szCs w:val="18"/>
        </w:rPr>
      </w:pPr>
    </w:p>
    <w:p w14:paraId="7D2FA171" w14:textId="77777777" w:rsidR="003B6333" w:rsidRDefault="003B6333" w:rsidP="003B6333">
      <w:pPr>
        <w:pStyle w:val="ListParagraph"/>
        <w:numPr>
          <w:ilvl w:val="0"/>
          <w:numId w:val="19"/>
        </w:numPr>
        <w:jc w:val="both"/>
        <w:rPr>
          <w:rFonts w:ascii="Arial" w:hAnsi="Arial" w:cs="Arial"/>
          <w:bCs/>
          <w:sz w:val="18"/>
          <w:szCs w:val="18"/>
        </w:rPr>
      </w:pPr>
      <w:r w:rsidRPr="003B6333">
        <w:rPr>
          <w:rFonts w:ascii="Arial" w:hAnsi="Arial" w:cs="Arial"/>
          <w:bCs/>
          <w:sz w:val="18"/>
          <w:szCs w:val="18"/>
        </w:rPr>
        <w:t>To provide advice and guidance on the complaints and appeals procedures, taking into account the QAA Quality Code.</w:t>
      </w:r>
    </w:p>
    <w:p w14:paraId="4BBFD716" w14:textId="55FD9AFC" w:rsidR="003B6333" w:rsidRPr="003B6333" w:rsidRDefault="003B6333" w:rsidP="003B6333">
      <w:pPr>
        <w:pStyle w:val="ListParagraph"/>
        <w:numPr>
          <w:ilvl w:val="0"/>
          <w:numId w:val="19"/>
        </w:numPr>
        <w:jc w:val="both"/>
        <w:rPr>
          <w:rFonts w:ascii="Arial" w:hAnsi="Arial" w:cs="Arial"/>
          <w:bCs/>
          <w:sz w:val="18"/>
          <w:szCs w:val="18"/>
        </w:rPr>
      </w:pPr>
      <w:r w:rsidRPr="003B6333">
        <w:rPr>
          <w:rFonts w:ascii="Arial" w:hAnsi="Arial" w:cs="Arial"/>
          <w:bCs/>
          <w:sz w:val="18"/>
          <w:szCs w:val="18"/>
        </w:rPr>
        <w:t>To develop staff in relation to the above.</w:t>
      </w:r>
    </w:p>
    <w:p w14:paraId="2198343A" w14:textId="77777777" w:rsidR="003B6333" w:rsidRDefault="003B6333" w:rsidP="003B6333">
      <w:pPr>
        <w:pStyle w:val="ListParagraph"/>
        <w:numPr>
          <w:ilvl w:val="0"/>
          <w:numId w:val="19"/>
        </w:numPr>
        <w:jc w:val="both"/>
        <w:rPr>
          <w:rFonts w:ascii="Arial" w:hAnsi="Arial" w:cs="Arial"/>
          <w:bCs/>
          <w:sz w:val="18"/>
          <w:szCs w:val="18"/>
        </w:rPr>
      </w:pPr>
      <w:r w:rsidRPr="003B6333">
        <w:rPr>
          <w:rFonts w:ascii="Arial" w:hAnsi="Arial" w:cs="Arial"/>
          <w:bCs/>
          <w:sz w:val="18"/>
          <w:szCs w:val="18"/>
        </w:rPr>
        <w:t>To work in accordance with legal and UEL policies.</w:t>
      </w:r>
    </w:p>
    <w:p w14:paraId="5CC5BBD0" w14:textId="6EED530E" w:rsidR="003B6333" w:rsidRPr="003B6333" w:rsidRDefault="003B6333" w:rsidP="003B6333">
      <w:pPr>
        <w:pStyle w:val="ListParagraph"/>
        <w:numPr>
          <w:ilvl w:val="0"/>
          <w:numId w:val="19"/>
        </w:numPr>
        <w:jc w:val="both"/>
        <w:rPr>
          <w:rFonts w:ascii="Arial" w:hAnsi="Arial" w:cs="Arial"/>
          <w:bCs/>
          <w:sz w:val="18"/>
          <w:szCs w:val="18"/>
        </w:rPr>
      </w:pPr>
      <w:r w:rsidRPr="003B6333">
        <w:rPr>
          <w:rFonts w:ascii="Arial" w:hAnsi="Arial" w:cs="Arial"/>
          <w:bCs/>
          <w:sz w:val="18"/>
          <w:szCs w:val="18"/>
        </w:rPr>
        <w:t>To manage, co-ordinate and monitor all student complaints and appeals at University level in accordance with the procedures and regulation of UEL</w:t>
      </w:r>
    </w:p>
    <w:p w14:paraId="7C9D1DEB" w14:textId="77777777" w:rsidR="00750147" w:rsidRDefault="00750147" w:rsidP="007007EB">
      <w:pPr>
        <w:jc w:val="both"/>
        <w:rPr>
          <w:rFonts w:ascii="Arial" w:hAnsi="Arial" w:cs="Arial"/>
          <w:b/>
          <w:i/>
          <w:iCs/>
          <w:sz w:val="18"/>
          <w:szCs w:val="18"/>
        </w:rPr>
      </w:pPr>
    </w:p>
    <w:p w14:paraId="782E5F0E" w14:textId="28CA86AB"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5DECD313" w14:textId="77777777" w:rsidR="00B351D5" w:rsidRDefault="00B351D5" w:rsidP="006D53C0">
      <w:pPr>
        <w:jc w:val="both"/>
        <w:rPr>
          <w:rFonts w:ascii="Arial" w:hAnsi="Arial" w:cs="Arial"/>
          <w:bCs/>
          <w:sz w:val="18"/>
          <w:szCs w:val="18"/>
        </w:rPr>
      </w:pPr>
    </w:p>
    <w:p w14:paraId="7282CEDD" w14:textId="77777777" w:rsidR="005F6B8F" w:rsidRDefault="005F6B8F" w:rsidP="005F6B8F">
      <w:pPr>
        <w:pStyle w:val="ListParagraph"/>
        <w:numPr>
          <w:ilvl w:val="0"/>
          <w:numId w:val="20"/>
        </w:numPr>
        <w:jc w:val="both"/>
        <w:rPr>
          <w:rFonts w:ascii="Arial" w:hAnsi="Arial" w:cs="Arial"/>
          <w:bCs/>
          <w:sz w:val="18"/>
          <w:szCs w:val="18"/>
        </w:rPr>
      </w:pPr>
      <w:r w:rsidRPr="005F6B8F">
        <w:rPr>
          <w:rFonts w:ascii="Arial" w:hAnsi="Arial" w:cs="Arial"/>
          <w:bCs/>
          <w:sz w:val="18"/>
          <w:szCs w:val="18"/>
        </w:rPr>
        <w:t>To lead the development and at regular intervals thereafter to develop, implement, review and enhance UEL's policies, procedures and practices to ensure that the University complies with its legal duties and obligations in relation to student complaints and appeals</w:t>
      </w:r>
    </w:p>
    <w:p w14:paraId="4A8B6D42" w14:textId="77777777" w:rsidR="005F6B8F" w:rsidRDefault="005F6B8F" w:rsidP="005F6B8F">
      <w:pPr>
        <w:pStyle w:val="ListParagraph"/>
        <w:numPr>
          <w:ilvl w:val="0"/>
          <w:numId w:val="20"/>
        </w:numPr>
        <w:jc w:val="both"/>
        <w:rPr>
          <w:rFonts w:ascii="Arial" w:hAnsi="Arial" w:cs="Arial"/>
          <w:bCs/>
          <w:sz w:val="18"/>
          <w:szCs w:val="18"/>
        </w:rPr>
      </w:pPr>
      <w:r w:rsidRPr="005F6B8F">
        <w:rPr>
          <w:rFonts w:ascii="Arial" w:hAnsi="Arial" w:cs="Arial"/>
          <w:bCs/>
          <w:sz w:val="18"/>
          <w:szCs w:val="18"/>
        </w:rPr>
        <w:t>To organise and service complaints and appeals processes.</w:t>
      </w:r>
    </w:p>
    <w:p w14:paraId="5160C71F" w14:textId="77777777" w:rsidR="005F6B8F" w:rsidRDefault="005F6B8F" w:rsidP="005F6B8F">
      <w:pPr>
        <w:pStyle w:val="ListParagraph"/>
        <w:numPr>
          <w:ilvl w:val="0"/>
          <w:numId w:val="20"/>
        </w:numPr>
        <w:jc w:val="both"/>
        <w:rPr>
          <w:rFonts w:ascii="Arial" w:hAnsi="Arial" w:cs="Arial"/>
          <w:bCs/>
          <w:sz w:val="18"/>
          <w:szCs w:val="18"/>
        </w:rPr>
      </w:pPr>
      <w:r w:rsidRPr="005F6B8F">
        <w:rPr>
          <w:rFonts w:ascii="Arial" w:hAnsi="Arial" w:cs="Arial"/>
          <w:bCs/>
          <w:sz w:val="18"/>
          <w:szCs w:val="18"/>
        </w:rPr>
        <w:t>Provide training and guidance on the use of new template documents to staff concerning quality assurance systems and procedures relating to both taught and research degree programmes.</w:t>
      </w:r>
    </w:p>
    <w:p w14:paraId="1B84A266" w14:textId="68850013" w:rsidR="005F6B8F" w:rsidRDefault="005F6B8F" w:rsidP="005F6B8F">
      <w:pPr>
        <w:pStyle w:val="ListParagraph"/>
        <w:numPr>
          <w:ilvl w:val="0"/>
          <w:numId w:val="20"/>
        </w:numPr>
        <w:jc w:val="both"/>
        <w:rPr>
          <w:rFonts w:ascii="Arial" w:hAnsi="Arial" w:cs="Arial"/>
          <w:bCs/>
          <w:sz w:val="18"/>
          <w:szCs w:val="18"/>
        </w:rPr>
      </w:pPr>
      <w:r w:rsidRPr="005F6B8F">
        <w:rPr>
          <w:rFonts w:ascii="Arial" w:hAnsi="Arial" w:cs="Arial"/>
          <w:bCs/>
          <w:sz w:val="18"/>
          <w:szCs w:val="18"/>
        </w:rPr>
        <w:t>Initial scrutiny of complaints application forms; check criteria met; assess and prioritise cases; prepare background materials.</w:t>
      </w:r>
    </w:p>
    <w:p w14:paraId="0666B2BB" w14:textId="77777777"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Attend panel hearings; take minutes, prepare detailed report and undertake any follow up action.</w:t>
      </w:r>
    </w:p>
    <w:p w14:paraId="2CE3515A" w14:textId="3CF81598"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Contribute towards the ongoing review of policy governing quality assurance systems and procedures relating to both taught and research degrees to ensure their continuing relevance and effectiveness.</w:t>
      </w:r>
    </w:p>
    <w:p w14:paraId="27B4C3FC" w14:textId="6F336D85"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Initial scrutiny of appeals application forms; check criteria met; assess and prioritise cases; prepare background materials.</w:t>
      </w:r>
    </w:p>
    <w:p w14:paraId="5CCF6FAA" w14:textId="70C0E808"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Contribute towards staff development activities organised for academic and administrative staff.</w:t>
      </w:r>
    </w:p>
    <w:p w14:paraId="1CFBB3C9" w14:textId="112005D2"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Proactively contribute to the audit and development of quality assurance processes conducted at School level.</w:t>
      </w:r>
    </w:p>
    <w:p w14:paraId="7F2CF67D" w14:textId="5CB1373D"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Provide support for internal processes designed to meet the requirements of external bodies such as audit and academic review by the Quality Assurance Agency for Higher Education and the accreditation of programmes by professional bodies.</w:t>
      </w:r>
    </w:p>
    <w:p w14:paraId="7AF91CC2" w14:textId="5FAD766F"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As required, take the lead and contribute proactively to areas of development of quality and compliance systems including production of guidance notes, forms, templates, good practice guides and updates on website.</w:t>
      </w:r>
    </w:p>
    <w:p w14:paraId="41D1285A" w14:textId="0E0AF43C"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undertake statistical analysis and produce reports as required by line-manager including annual reports on complaints and appeals for the Board of Governors.</w:t>
      </w:r>
    </w:p>
    <w:p w14:paraId="1005D180" w14:textId="553DF61B"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deputise for line manager as required, e.g. attending internal committees, external meetings, liaising with senior managers and colleagues on complex cases.</w:t>
      </w:r>
    </w:p>
    <w:p w14:paraId="4A42D5F2" w14:textId="2AD28EBA"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liaise with external agencies and organisations as appropriate on UEL's behalf, e.g. the Office of the Independent Adjudicator (OIA).</w:t>
      </w:r>
    </w:p>
    <w:p w14:paraId="01167278" w14:textId="03D0D702"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support the work of the Complaints and Appeals team.</w:t>
      </w:r>
    </w:p>
    <w:p w14:paraId="553218FE" w14:textId="737E8BB0"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keep up to date with relevant legislation and best practice across the sector and disseminate to students and staff as relevant.</w:t>
      </w:r>
    </w:p>
    <w:p w14:paraId="7DF5B957" w14:textId="2129F35C"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attend external training provided by relevant third parties including the OIA.</w:t>
      </w:r>
    </w:p>
    <w:p w14:paraId="56D42794" w14:textId="3624CB55"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work with Student Hub for complaints.</w:t>
      </w:r>
    </w:p>
    <w:p w14:paraId="23FF450A" w14:textId="61C7E206"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work between sites as required and on occasion to work in the evening and at week-ends.</w:t>
      </w:r>
    </w:p>
    <w:p w14:paraId="1308562B" w14:textId="6FD81DAA"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work in accordance with and promote UEL's Equality and Diversity policies.</w:t>
      </w:r>
    </w:p>
    <w:p w14:paraId="41DE78AD" w14:textId="301C7EF9" w:rsidR="005F6B8F" w:rsidRPr="005F6B8F" w:rsidRDefault="005F6B8F" w:rsidP="005F6B8F">
      <w:pPr>
        <w:pStyle w:val="NormalWeb"/>
        <w:numPr>
          <w:ilvl w:val="0"/>
          <w:numId w:val="20"/>
        </w:numPr>
        <w:rPr>
          <w:rFonts w:ascii="Arial" w:hAnsi="Arial" w:cs="Arial"/>
          <w:color w:val="000000"/>
          <w:sz w:val="18"/>
          <w:szCs w:val="18"/>
        </w:rPr>
      </w:pPr>
      <w:r w:rsidRPr="005F6B8F">
        <w:rPr>
          <w:rFonts w:ascii="Arial" w:hAnsi="Arial" w:cs="Arial"/>
          <w:color w:val="000000"/>
          <w:sz w:val="18"/>
          <w:szCs w:val="18"/>
        </w:rPr>
        <w:t>To maintain records of completion of procedures letters issued by schools and services across the University under all policies and procedures.</w:t>
      </w:r>
    </w:p>
    <w:p w14:paraId="0DFBAF8B" w14:textId="77777777" w:rsidR="002E775C" w:rsidRPr="00805BCC" w:rsidRDefault="002E775C" w:rsidP="3C0EE9EA">
      <w:pPr>
        <w:jc w:val="both"/>
        <w:rPr>
          <w:rFonts w:ascii="Arial" w:hAnsi="Arial" w:cs="Arial"/>
          <w:b/>
          <w:bCs/>
          <w:sz w:val="18"/>
          <w:szCs w:val="18"/>
        </w:rPr>
      </w:pPr>
    </w:p>
    <w:p w14:paraId="7908FB03" w14:textId="1DE94342"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5F6B8F">
        <w:rPr>
          <w:rFonts w:ascii="Arial" w:hAnsi="Arial" w:cs="Arial"/>
          <w:sz w:val="18"/>
          <w:szCs w:val="18"/>
        </w:rPr>
        <w:t xml:space="preserve">Complaints and Appeals Officer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7FDAE4EB" w14:textId="77777777" w:rsidR="00750147" w:rsidRDefault="00750147" w:rsidP="002E775C">
      <w:pPr>
        <w:jc w:val="center"/>
        <w:rPr>
          <w:rFonts w:ascii="Arial" w:hAnsi="Arial" w:cs="Arial"/>
          <w:b/>
          <w:bCs/>
          <w:sz w:val="18"/>
          <w:szCs w:val="18"/>
          <w:u w:val="single"/>
        </w:rPr>
      </w:pPr>
    </w:p>
    <w:p w14:paraId="3E5AC8A1" w14:textId="77777777" w:rsidR="00750147" w:rsidRDefault="00750147" w:rsidP="002E775C">
      <w:pPr>
        <w:jc w:val="center"/>
        <w:rPr>
          <w:rFonts w:ascii="Arial" w:hAnsi="Arial" w:cs="Arial"/>
          <w:b/>
          <w:bCs/>
          <w:sz w:val="18"/>
          <w:szCs w:val="18"/>
          <w:u w:val="single"/>
        </w:rPr>
      </w:pPr>
    </w:p>
    <w:p w14:paraId="292E4FB2" w14:textId="77777777" w:rsidR="00750147" w:rsidRDefault="00750147" w:rsidP="002E775C">
      <w:pPr>
        <w:jc w:val="center"/>
        <w:rPr>
          <w:rFonts w:ascii="Arial" w:hAnsi="Arial" w:cs="Arial"/>
          <w:b/>
          <w:bCs/>
          <w:sz w:val="18"/>
          <w:szCs w:val="18"/>
          <w:u w:val="single"/>
        </w:rPr>
      </w:pPr>
    </w:p>
    <w:p w14:paraId="4AE9D43C" w14:textId="77777777" w:rsidR="00750147" w:rsidRDefault="00750147" w:rsidP="002E775C">
      <w:pPr>
        <w:jc w:val="center"/>
        <w:rPr>
          <w:rFonts w:ascii="Arial" w:hAnsi="Arial" w:cs="Arial"/>
          <w:b/>
          <w:bCs/>
          <w:sz w:val="18"/>
          <w:szCs w:val="18"/>
          <w:u w:val="single"/>
        </w:rPr>
      </w:pPr>
    </w:p>
    <w:p w14:paraId="52052C43" w14:textId="77777777" w:rsidR="00750147" w:rsidRDefault="00750147" w:rsidP="002E775C">
      <w:pPr>
        <w:jc w:val="center"/>
        <w:rPr>
          <w:rFonts w:ascii="Arial" w:hAnsi="Arial" w:cs="Arial"/>
          <w:b/>
          <w:bCs/>
          <w:sz w:val="18"/>
          <w:szCs w:val="18"/>
          <w:u w:val="single"/>
        </w:rPr>
      </w:pPr>
    </w:p>
    <w:p w14:paraId="054F4E7B" w14:textId="77777777" w:rsidR="009113EB" w:rsidRDefault="009113EB" w:rsidP="005F6B8F">
      <w:pPr>
        <w:rPr>
          <w:rFonts w:ascii="Arial" w:hAnsi="Arial" w:cs="Arial"/>
          <w:b/>
          <w:bCs/>
          <w:sz w:val="18"/>
          <w:szCs w:val="18"/>
          <w:u w:val="single"/>
        </w:rPr>
      </w:pPr>
    </w:p>
    <w:p w14:paraId="19681DAD" w14:textId="77777777" w:rsidR="00750147" w:rsidRDefault="00750147" w:rsidP="005F6B8F">
      <w:pPr>
        <w:rPr>
          <w:rFonts w:ascii="Arial" w:hAnsi="Arial" w:cs="Arial"/>
          <w:b/>
          <w:bCs/>
          <w:sz w:val="18"/>
          <w:szCs w:val="18"/>
          <w:u w:val="single"/>
        </w:rPr>
      </w:pPr>
    </w:p>
    <w:p w14:paraId="29452D17" w14:textId="77777777" w:rsidR="00750147" w:rsidRDefault="00750147" w:rsidP="005F6B8F">
      <w:pPr>
        <w:rPr>
          <w:rFonts w:ascii="Arial" w:hAnsi="Arial" w:cs="Arial"/>
          <w:b/>
          <w:bCs/>
          <w:sz w:val="18"/>
          <w:szCs w:val="18"/>
          <w:u w:val="single"/>
        </w:rPr>
      </w:pPr>
    </w:p>
    <w:p w14:paraId="65953A92" w14:textId="77777777" w:rsidR="00750147" w:rsidRDefault="00750147" w:rsidP="005F6B8F">
      <w:pP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2C9DF01F" w:rsidR="00DA095F" w:rsidRPr="00F949EB" w:rsidRDefault="005F6B8F" w:rsidP="00DA095F">
            <w:pPr>
              <w:rPr>
                <w:rFonts w:ascii="Arial" w:hAnsi="Arial" w:cs="Arial"/>
                <w:b w:val="0"/>
                <w:bCs w:val="0"/>
                <w:i/>
                <w:iCs/>
                <w:sz w:val="18"/>
                <w:szCs w:val="18"/>
              </w:rPr>
            </w:pPr>
            <w:r w:rsidRPr="005F6B8F">
              <w:rPr>
                <w:rFonts w:ascii="Arial" w:hAnsi="Arial" w:cs="Arial"/>
                <w:b w:val="0"/>
                <w:bCs w:val="0"/>
                <w:i/>
                <w:iCs/>
                <w:sz w:val="18"/>
                <w:szCs w:val="18"/>
              </w:rPr>
              <w:t xml:space="preserve">Good first degree or equivalent </w:t>
            </w:r>
          </w:p>
        </w:tc>
        <w:tc>
          <w:tcPr>
            <w:tcW w:w="1130" w:type="dxa"/>
          </w:tcPr>
          <w:p w14:paraId="5981133D" w14:textId="0AFD9579" w:rsidR="00DA095F" w:rsidRDefault="00750147"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47CC019F" w14:textId="6B60A35D" w:rsidR="00DA095F" w:rsidRPr="00B910CA" w:rsidRDefault="00DA095F"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78671144" w14:textId="49152C59" w:rsidR="00DA095F" w:rsidRPr="00873044" w:rsidRDefault="005F6B8F" w:rsidP="005F6B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3044">
              <w:rPr>
                <w:rFonts w:ascii="Arial" w:hAnsi="Arial" w:cs="Arial"/>
                <w:sz w:val="18"/>
                <w:szCs w:val="18"/>
              </w:rPr>
              <w:t>A,C</w:t>
            </w:r>
          </w:p>
        </w:tc>
      </w:tr>
      <w:tr w:rsidR="003A70B6"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1DEB8E75" w:rsidR="003A70B6" w:rsidRPr="00F61479" w:rsidRDefault="005F6B8F" w:rsidP="003A70B6">
            <w:pPr>
              <w:rPr>
                <w:rFonts w:ascii="Arial" w:hAnsi="Arial" w:cs="Arial"/>
                <w:b w:val="0"/>
                <w:bCs w:val="0"/>
                <w:i/>
                <w:iCs/>
                <w:sz w:val="18"/>
                <w:szCs w:val="18"/>
              </w:rPr>
            </w:pPr>
            <w:r w:rsidRPr="005F6B8F">
              <w:rPr>
                <w:rFonts w:ascii="Arial" w:hAnsi="Arial" w:cs="Arial"/>
                <w:b w:val="0"/>
                <w:bCs w:val="0"/>
                <w:sz w:val="18"/>
                <w:szCs w:val="18"/>
              </w:rPr>
              <w:t>Undertaken Office of the Independent Adjudicator training</w:t>
            </w:r>
          </w:p>
        </w:tc>
        <w:tc>
          <w:tcPr>
            <w:tcW w:w="1130" w:type="dxa"/>
          </w:tcPr>
          <w:p w14:paraId="31C5433C" w14:textId="5A6AA448" w:rsidR="003A70B6" w:rsidRDefault="003A70B6"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7B115C2" w14:textId="0EE11148" w:rsidR="003A70B6" w:rsidRPr="00B910CA" w:rsidRDefault="00750147"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515" w:type="dxa"/>
          </w:tcPr>
          <w:p w14:paraId="5F9C9FD2" w14:textId="6F735F7F" w:rsidR="003A70B6" w:rsidRPr="00790DBC" w:rsidRDefault="00790DBC" w:rsidP="00790D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790DBC">
              <w:rPr>
                <w:rFonts w:ascii="Arial" w:hAnsi="Arial" w:cs="Arial"/>
                <w:sz w:val="18"/>
                <w:szCs w:val="18"/>
                <w:u w:val="single"/>
              </w:rPr>
              <w:t>A,I</w:t>
            </w:r>
          </w:p>
        </w:tc>
      </w:tr>
      <w:tr w:rsidR="00CB18A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Default="0072173A" w:rsidP="00165B99">
            <w:pPr>
              <w:rPr>
                <w:rFonts w:ascii="Arial" w:hAnsi="Arial" w:cs="Arial"/>
                <w:b w:val="0"/>
                <w:bCs w:val="0"/>
                <w:sz w:val="18"/>
                <w:szCs w:val="18"/>
              </w:rPr>
            </w:pPr>
          </w:p>
          <w:p w14:paraId="6544F2DB" w14:textId="65C4D788" w:rsidR="0072173A" w:rsidRPr="005A5423" w:rsidRDefault="005F6B8F" w:rsidP="00165B99">
            <w:pPr>
              <w:rPr>
                <w:rFonts w:ascii="Arial" w:hAnsi="Arial" w:cs="Arial"/>
                <w:b w:val="0"/>
                <w:bCs w:val="0"/>
                <w:i/>
                <w:iCs/>
                <w:sz w:val="18"/>
                <w:szCs w:val="18"/>
              </w:rPr>
            </w:pPr>
            <w:r w:rsidRPr="005F6B8F">
              <w:rPr>
                <w:rFonts w:ascii="Arial" w:hAnsi="Arial" w:cs="Arial"/>
                <w:b w:val="0"/>
                <w:bCs w:val="0"/>
                <w:i/>
                <w:iCs/>
                <w:sz w:val="18"/>
                <w:szCs w:val="18"/>
              </w:rPr>
              <w:t>Experience of working in a UK Higher Education Institution (A/I)</w:t>
            </w:r>
          </w:p>
        </w:tc>
        <w:tc>
          <w:tcPr>
            <w:tcW w:w="1130" w:type="dxa"/>
          </w:tcPr>
          <w:p w14:paraId="21259D1E" w14:textId="583A94C8" w:rsidR="00CB18A6" w:rsidRPr="00B910CA" w:rsidRDefault="00750147"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3B094E68" w14:textId="75680711" w:rsidR="00CB18A6" w:rsidRPr="00B910CA" w:rsidRDefault="00CB18A6"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FF483CB" w14:textId="2156E15D" w:rsidR="00CB18A6" w:rsidRPr="00873044" w:rsidRDefault="0087304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3044">
              <w:rPr>
                <w:rFonts w:ascii="Arial" w:hAnsi="Arial" w:cs="Arial"/>
                <w:sz w:val="18"/>
                <w:szCs w:val="18"/>
              </w:rPr>
              <w:t>A,I</w:t>
            </w:r>
          </w:p>
        </w:tc>
      </w:tr>
      <w:tr w:rsidR="00CB18A6"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402D46CF" w:rsidR="00CB18A6" w:rsidRPr="005A5423" w:rsidRDefault="005F6B8F" w:rsidP="00165B99">
            <w:pPr>
              <w:rPr>
                <w:rFonts w:ascii="Arial" w:hAnsi="Arial" w:cs="Arial"/>
                <w:b w:val="0"/>
                <w:bCs w:val="0"/>
                <w:i/>
                <w:iCs/>
                <w:sz w:val="18"/>
                <w:szCs w:val="18"/>
              </w:rPr>
            </w:pPr>
            <w:r w:rsidRPr="005F6B8F">
              <w:rPr>
                <w:rFonts w:ascii="Arial" w:hAnsi="Arial" w:cs="Arial"/>
                <w:b w:val="0"/>
                <w:bCs w:val="0"/>
                <w:i/>
                <w:iCs/>
                <w:sz w:val="18"/>
                <w:szCs w:val="18"/>
              </w:rPr>
              <w:t>An understanding of the needs of students in Higher Education (A/I)</w:t>
            </w:r>
          </w:p>
        </w:tc>
        <w:tc>
          <w:tcPr>
            <w:tcW w:w="1130" w:type="dxa"/>
          </w:tcPr>
          <w:p w14:paraId="6995F80D" w14:textId="22E7F03A" w:rsidR="00CB18A6" w:rsidRPr="00B910CA" w:rsidRDefault="00750147"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3959F7AB" w14:textId="32E400C0" w:rsidR="00CB18A6" w:rsidRPr="00B910CA" w:rsidRDefault="00CB18A6"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4030B794" w14:textId="55A092A0" w:rsidR="00CB18A6" w:rsidRPr="00873044"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73044">
              <w:rPr>
                <w:rFonts w:ascii="Arial" w:hAnsi="Arial" w:cs="Arial"/>
                <w:sz w:val="18"/>
                <w:szCs w:val="18"/>
              </w:rPr>
              <w:t>A,I</w:t>
            </w:r>
          </w:p>
        </w:tc>
      </w:tr>
      <w:tr w:rsidR="005F6B8F" w:rsidRPr="00B910CA" w14:paraId="3A2BE9BA"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0A5B101" w14:textId="05B4F6CA" w:rsidR="005F6B8F" w:rsidRPr="005F6B8F" w:rsidRDefault="005F6B8F" w:rsidP="00165B99">
            <w:pPr>
              <w:rPr>
                <w:rFonts w:ascii="Arial" w:hAnsi="Arial" w:cs="Arial"/>
                <w:b w:val="0"/>
                <w:bCs w:val="0"/>
                <w:i/>
                <w:iCs/>
                <w:sz w:val="18"/>
                <w:szCs w:val="18"/>
              </w:rPr>
            </w:pPr>
            <w:r w:rsidRPr="005F6B8F">
              <w:rPr>
                <w:rFonts w:ascii="Arial" w:hAnsi="Arial" w:cs="Arial"/>
                <w:b w:val="0"/>
                <w:bCs w:val="0"/>
                <w:i/>
                <w:iCs/>
                <w:sz w:val="18"/>
                <w:szCs w:val="18"/>
              </w:rPr>
              <w:t>Experience of using information technology such as MS Office applications, SITS, web based software and databases (A)</w:t>
            </w:r>
          </w:p>
        </w:tc>
        <w:tc>
          <w:tcPr>
            <w:tcW w:w="1130" w:type="dxa"/>
          </w:tcPr>
          <w:p w14:paraId="3F843FF1" w14:textId="2E5861C8" w:rsidR="005F6B8F" w:rsidRDefault="005F6B8F"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4F95CC74" w14:textId="77777777" w:rsidR="005F6B8F" w:rsidRPr="00B910CA" w:rsidRDefault="005F6B8F"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40D1580E" w14:textId="1DA3D524" w:rsidR="005F6B8F" w:rsidRPr="00873044" w:rsidRDefault="0087304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3044">
              <w:rPr>
                <w:rFonts w:ascii="Arial" w:hAnsi="Arial" w:cs="Arial"/>
                <w:sz w:val="18"/>
                <w:szCs w:val="18"/>
              </w:rPr>
              <w:t>A</w:t>
            </w:r>
          </w:p>
        </w:tc>
      </w:tr>
      <w:tr w:rsidR="005F6B8F" w:rsidRPr="00B910CA" w14:paraId="5A4C9CF3"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29100F2" w14:textId="37E63681" w:rsidR="005F6B8F" w:rsidRPr="005F6B8F" w:rsidRDefault="005F6B8F" w:rsidP="00165B99">
            <w:pPr>
              <w:rPr>
                <w:rFonts w:ascii="Arial" w:hAnsi="Arial" w:cs="Arial"/>
                <w:b w:val="0"/>
                <w:bCs w:val="0"/>
                <w:i/>
                <w:iCs/>
                <w:sz w:val="18"/>
                <w:szCs w:val="18"/>
              </w:rPr>
            </w:pPr>
            <w:r w:rsidRPr="005F6B8F">
              <w:rPr>
                <w:rFonts w:ascii="Arial" w:hAnsi="Arial" w:cs="Arial"/>
                <w:b w:val="0"/>
                <w:bCs w:val="0"/>
                <w:i/>
                <w:iCs/>
                <w:sz w:val="18"/>
                <w:szCs w:val="18"/>
              </w:rPr>
              <w:t>Experience of servicing formal meetings including clerking and minute writin</w:t>
            </w:r>
            <w:r>
              <w:rPr>
                <w:rFonts w:ascii="Arial" w:hAnsi="Arial" w:cs="Arial"/>
                <w:b w:val="0"/>
                <w:bCs w:val="0"/>
                <w:i/>
                <w:iCs/>
                <w:sz w:val="18"/>
                <w:szCs w:val="18"/>
              </w:rPr>
              <w:t>g</w:t>
            </w:r>
          </w:p>
        </w:tc>
        <w:tc>
          <w:tcPr>
            <w:tcW w:w="1130" w:type="dxa"/>
          </w:tcPr>
          <w:p w14:paraId="1FDE2C98" w14:textId="0FABF007" w:rsidR="005F6B8F" w:rsidRPr="00E96199" w:rsidRDefault="005F6B8F"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E96199">
              <w:rPr>
                <w:rFonts w:ascii="Arial" w:hAnsi="Arial" w:cs="Arial"/>
                <w:b/>
                <w:bCs/>
                <w:sz w:val="18"/>
                <w:szCs w:val="18"/>
                <w:highlight w:val="yellow"/>
                <w:u w:val="single"/>
              </w:rPr>
              <w:t>X</w:t>
            </w:r>
          </w:p>
        </w:tc>
        <w:tc>
          <w:tcPr>
            <w:tcW w:w="1266" w:type="dxa"/>
          </w:tcPr>
          <w:p w14:paraId="2961842F" w14:textId="77777777" w:rsidR="005F6B8F" w:rsidRPr="00B910CA" w:rsidRDefault="005F6B8F" w:rsidP="00D10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D18C50F" w14:textId="7CA22BE5" w:rsidR="005F6B8F" w:rsidRPr="00B910CA" w:rsidRDefault="00D10B98" w:rsidP="00D10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73044">
              <w:rPr>
                <w:rFonts w:ascii="Arial" w:hAnsi="Arial" w:cs="Arial"/>
                <w:sz w:val="18"/>
                <w:szCs w:val="18"/>
              </w:rPr>
              <w:t>A,I</w:t>
            </w:r>
          </w:p>
        </w:tc>
      </w:tr>
      <w:tr w:rsidR="005F6B8F" w:rsidRPr="00B910CA" w14:paraId="404B9BCE"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3357E95D" w14:textId="55C6DAB7" w:rsidR="005F6B8F" w:rsidRPr="005F6B8F" w:rsidRDefault="005F6B8F" w:rsidP="00165B99">
            <w:pPr>
              <w:rPr>
                <w:rFonts w:ascii="Arial" w:hAnsi="Arial" w:cs="Arial"/>
                <w:b w:val="0"/>
                <w:bCs w:val="0"/>
                <w:i/>
                <w:iCs/>
                <w:sz w:val="18"/>
                <w:szCs w:val="18"/>
              </w:rPr>
            </w:pPr>
            <w:r w:rsidRPr="005F6B8F">
              <w:rPr>
                <w:rFonts w:ascii="Arial" w:hAnsi="Arial" w:cs="Arial"/>
                <w:b w:val="0"/>
                <w:bCs w:val="0"/>
                <w:i/>
                <w:iCs/>
                <w:sz w:val="18"/>
                <w:szCs w:val="18"/>
              </w:rPr>
              <w:t>Working knowledge of academic administration processes and policies</w:t>
            </w:r>
          </w:p>
        </w:tc>
        <w:tc>
          <w:tcPr>
            <w:tcW w:w="1130" w:type="dxa"/>
          </w:tcPr>
          <w:p w14:paraId="4EA053A6" w14:textId="52240320" w:rsidR="005F6B8F" w:rsidRPr="00E96199" w:rsidRDefault="005F6B8F"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sidRPr="00E96199">
              <w:rPr>
                <w:rFonts w:ascii="Arial" w:hAnsi="Arial" w:cs="Arial"/>
                <w:b/>
                <w:bCs/>
                <w:sz w:val="18"/>
                <w:szCs w:val="18"/>
                <w:highlight w:val="yellow"/>
                <w:u w:val="single"/>
              </w:rPr>
              <w:t>X</w:t>
            </w:r>
          </w:p>
        </w:tc>
        <w:tc>
          <w:tcPr>
            <w:tcW w:w="1266" w:type="dxa"/>
          </w:tcPr>
          <w:p w14:paraId="77B5F05A" w14:textId="77777777" w:rsidR="005F6B8F" w:rsidRPr="00B910CA" w:rsidRDefault="005F6B8F" w:rsidP="007501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9D29FDD" w14:textId="747AD976" w:rsidR="005F6B8F" w:rsidRPr="00B910CA" w:rsidRDefault="00D10B9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73044">
              <w:rPr>
                <w:rFonts w:ascii="Arial" w:hAnsi="Arial" w:cs="Arial"/>
                <w:sz w:val="18"/>
                <w:szCs w:val="18"/>
              </w:rPr>
              <w:t>A,I</w:t>
            </w:r>
          </w:p>
        </w:tc>
      </w:tr>
      <w:tr w:rsidR="005F6B8F" w:rsidRPr="00B910CA" w14:paraId="07352F6B"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08EEF37" w14:textId="139E93D6" w:rsidR="005F6B8F" w:rsidRPr="005F6B8F" w:rsidRDefault="005F6B8F" w:rsidP="00165B99">
            <w:pPr>
              <w:rPr>
                <w:rFonts w:ascii="Arial" w:hAnsi="Arial" w:cs="Arial"/>
                <w:b w:val="0"/>
                <w:bCs w:val="0"/>
                <w:i/>
                <w:iCs/>
                <w:sz w:val="18"/>
                <w:szCs w:val="18"/>
              </w:rPr>
            </w:pPr>
            <w:r w:rsidRPr="005F6B8F">
              <w:rPr>
                <w:rFonts w:ascii="Arial" w:hAnsi="Arial" w:cs="Arial"/>
                <w:b w:val="0"/>
                <w:bCs w:val="0"/>
                <w:i/>
                <w:iCs/>
                <w:sz w:val="18"/>
                <w:szCs w:val="18"/>
              </w:rPr>
              <w:t>Experience of effective use of institutional student (or similar) records systems / databases</w:t>
            </w:r>
          </w:p>
        </w:tc>
        <w:tc>
          <w:tcPr>
            <w:tcW w:w="1130" w:type="dxa"/>
          </w:tcPr>
          <w:p w14:paraId="567BD83C" w14:textId="4A98C083" w:rsidR="005F6B8F" w:rsidRPr="00E96199" w:rsidRDefault="005F6B8F"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E96199">
              <w:rPr>
                <w:rFonts w:ascii="Arial" w:hAnsi="Arial" w:cs="Arial"/>
                <w:b/>
                <w:bCs/>
                <w:sz w:val="18"/>
                <w:szCs w:val="18"/>
                <w:highlight w:val="yellow"/>
                <w:u w:val="single"/>
              </w:rPr>
              <w:t>X</w:t>
            </w:r>
          </w:p>
        </w:tc>
        <w:tc>
          <w:tcPr>
            <w:tcW w:w="1266" w:type="dxa"/>
          </w:tcPr>
          <w:p w14:paraId="68236C08" w14:textId="77777777" w:rsidR="005F6B8F" w:rsidRPr="00B910CA" w:rsidRDefault="005F6B8F" w:rsidP="0075014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1F460E0" w14:textId="27F58C04" w:rsidR="005F6B8F" w:rsidRPr="00B910CA" w:rsidRDefault="00D10B9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73044">
              <w:rPr>
                <w:rFonts w:ascii="Arial" w:hAnsi="Arial" w:cs="Arial"/>
                <w:sz w:val="18"/>
                <w:szCs w:val="18"/>
              </w:rPr>
              <w:t>A,I</w:t>
            </w:r>
          </w:p>
        </w:tc>
      </w:tr>
      <w:tr w:rsidR="00873044" w:rsidRPr="00B910CA" w14:paraId="1B08F8E1"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560328D" w14:textId="30C5CF9F" w:rsidR="00873044" w:rsidRPr="00873044" w:rsidRDefault="00873044" w:rsidP="00165B99">
            <w:pPr>
              <w:rPr>
                <w:rFonts w:ascii="Arial" w:hAnsi="Arial" w:cs="Arial"/>
                <w:b w:val="0"/>
                <w:bCs w:val="0"/>
                <w:i/>
                <w:iCs/>
                <w:sz w:val="18"/>
                <w:szCs w:val="18"/>
              </w:rPr>
            </w:pPr>
            <w:r w:rsidRPr="00873044">
              <w:rPr>
                <w:rFonts w:ascii="Arial" w:hAnsi="Arial" w:cs="Arial"/>
                <w:b w:val="0"/>
                <w:bCs w:val="0"/>
                <w:i/>
                <w:iCs/>
                <w:sz w:val="18"/>
                <w:szCs w:val="18"/>
              </w:rPr>
              <w:t xml:space="preserve">Knowledge and experience of dealing with complaints and appeals </w:t>
            </w:r>
          </w:p>
        </w:tc>
        <w:tc>
          <w:tcPr>
            <w:tcW w:w="1130" w:type="dxa"/>
          </w:tcPr>
          <w:p w14:paraId="568008F6" w14:textId="77777777" w:rsidR="00873044" w:rsidRDefault="0087304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08E4B8FC" w14:textId="60166767" w:rsidR="00873044" w:rsidRPr="00E96199" w:rsidRDefault="0087304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sidRPr="00E96199">
              <w:rPr>
                <w:rFonts w:ascii="Arial" w:hAnsi="Arial" w:cs="Arial"/>
                <w:b/>
                <w:bCs/>
                <w:sz w:val="18"/>
                <w:szCs w:val="18"/>
                <w:highlight w:val="yellow"/>
                <w:u w:val="single"/>
              </w:rPr>
              <w:t>X</w:t>
            </w:r>
          </w:p>
        </w:tc>
        <w:tc>
          <w:tcPr>
            <w:tcW w:w="1515" w:type="dxa"/>
          </w:tcPr>
          <w:p w14:paraId="49995970" w14:textId="43258F2D" w:rsidR="00873044" w:rsidRPr="00B910CA" w:rsidRDefault="0087304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73044">
              <w:rPr>
                <w:rFonts w:ascii="Arial" w:hAnsi="Arial" w:cs="Arial"/>
                <w:sz w:val="18"/>
                <w:szCs w:val="18"/>
              </w:rPr>
              <w:t>A,I</w:t>
            </w:r>
          </w:p>
        </w:tc>
      </w:tr>
      <w:tr w:rsidR="00873044" w:rsidRPr="00B910CA" w14:paraId="179C7178"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662F561" w14:textId="1FD55E3B" w:rsidR="00873044" w:rsidRPr="00873044" w:rsidRDefault="00873044" w:rsidP="00165B99">
            <w:pPr>
              <w:rPr>
                <w:rFonts w:ascii="Arial" w:hAnsi="Arial" w:cs="Arial"/>
                <w:b w:val="0"/>
                <w:bCs w:val="0"/>
                <w:i/>
                <w:iCs/>
                <w:sz w:val="18"/>
                <w:szCs w:val="18"/>
              </w:rPr>
            </w:pPr>
            <w:r w:rsidRPr="00873044">
              <w:rPr>
                <w:rFonts w:ascii="Arial" w:hAnsi="Arial" w:cs="Arial"/>
                <w:b w:val="0"/>
                <w:bCs w:val="0"/>
                <w:i/>
                <w:iCs/>
                <w:sz w:val="18"/>
                <w:szCs w:val="18"/>
              </w:rPr>
              <w:t>Knowledge and experience of liaising with Office of Independent Adjudicator (OIA)</w:t>
            </w:r>
          </w:p>
        </w:tc>
        <w:tc>
          <w:tcPr>
            <w:tcW w:w="1130" w:type="dxa"/>
          </w:tcPr>
          <w:p w14:paraId="6D6C4714" w14:textId="77777777" w:rsidR="00873044"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DEFB6FC" w14:textId="468734C4" w:rsidR="00873044" w:rsidRPr="00E96199"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sidRPr="00E96199">
              <w:rPr>
                <w:rFonts w:ascii="Arial" w:hAnsi="Arial" w:cs="Arial"/>
                <w:b/>
                <w:bCs/>
                <w:sz w:val="18"/>
                <w:szCs w:val="18"/>
                <w:highlight w:val="yellow"/>
                <w:u w:val="single"/>
              </w:rPr>
              <w:t>X</w:t>
            </w:r>
          </w:p>
        </w:tc>
        <w:tc>
          <w:tcPr>
            <w:tcW w:w="1515" w:type="dxa"/>
          </w:tcPr>
          <w:p w14:paraId="204BD0F8" w14:textId="6F6D5F7D" w:rsidR="00873044" w:rsidRPr="00B910CA"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73044">
              <w:rPr>
                <w:rFonts w:ascii="Arial" w:hAnsi="Arial" w:cs="Arial"/>
                <w:sz w:val="18"/>
                <w:szCs w:val="18"/>
              </w:rPr>
              <w:t>A,I</w:t>
            </w:r>
          </w:p>
        </w:tc>
      </w:tr>
      <w:tr w:rsidR="00A42C6E"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Default="00A42C6E" w:rsidP="00165B99">
            <w:pPr>
              <w:rPr>
                <w:rFonts w:ascii="Arial" w:hAnsi="Arial" w:cs="Arial"/>
                <w:b w:val="0"/>
                <w:bCs w:val="0"/>
                <w:sz w:val="18"/>
                <w:szCs w:val="18"/>
              </w:rPr>
            </w:pPr>
          </w:p>
          <w:p w14:paraId="6ABACC0E" w14:textId="0BCC10D9" w:rsidR="00A42C6E" w:rsidRPr="00B910CA" w:rsidRDefault="00A42C6E"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873044" w:rsidRPr="00B910C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04F27D27" w:rsidR="00A42C6E" w:rsidRPr="00B910CA" w:rsidRDefault="00873044" w:rsidP="00165B99">
            <w:pPr>
              <w:rPr>
                <w:rFonts w:ascii="Arial" w:hAnsi="Arial" w:cs="Arial"/>
                <w:b w:val="0"/>
                <w:bCs w:val="0"/>
                <w:sz w:val="18"/>
                <w:szCs w:val="18"/>
              </w:rPr>
            </w:pPr>
            <w:r w:rsidRPr="00873044">
              <w:rPr>
                <w:rFonts w:ascii="Arial" w:hAnsi="Arial" w:cs="Arial"/>
                <w:b w:val="0"/>
                <w:bCs w:val="0"/>
                <w:i/>
                <w:iCs/>
                <w:sz w:val="18"/>
                <w:szCs w:val="18"/>
              </w:rPr>
              <w:t>Experience of managing conflicting priorities and organising own work to deliver targets and effectively meet deadlines within a high volume environment</w:t>
            </w:r>
          </w:p>
        </w:tc>
        <w:tc>
          <w:tcPr>
            <w:tcW w:w="1130" w:type="dxa"/>
          </w:tcPr>
          <w:p w14:paraId="3EB9890B" w14:textId="6F7E79EC" w:rsidR="00A42C6E" w:rsidRDefault="0075014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6ECB4F8C" w14:textId="6CAF1EDE"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8B7A4ED" w14:textId="243007D7" w:rsidR="00A42C6E" w:rsidRPr="00790DBC" w:rsidRDefault="00790DBC"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790DBC">
              <w:rPr>
                <w:rFonts w:ascii="Arial" w:hAnsi="Arial" w:cs="Arial"/>
                <w:sz w:val="18"/>
                <w:szCs w:val="18"/>
                <w:u w:val="single"/>
              </w:rPr>
              <w:t>A,I</w:t>
            </w:r>
          </w:p>
        </w:tc>
      </w:tr>
      <w:tr w:rsidR="00A42C6E"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55487F00" w:rsidR="00A42C6E" w:rsidRPr="00B910CA" w:rsidRDefault="00873044" w:rsidP="00165B99">
            <w:pPr>
              <w:rPr>
                <w:rFonts w:ascii="Arial" w:hAnsi="Arial" w:cs="Arial"/>
                <w:sz w:val="18"/>
                <w:szCs w:val="18"/>
              </w:rPr>
            </w:pPr>
            <w:r w:rsidRPr="00873044">
              <w:rPr>
                <w:rFonts w:ascii="Arial" w:hAnsi="Arial" w:cs="Arial"/>
                <w:b w:val="0"/>
                <w:bCs w:val="0"/>
                <w:i/>
                <w:iCs/>
                <w:sz w:val="18"/>
                <w:szCs w:val="18"/>
              </w:rPr>
              <w:t xml:space="preserve">Experience of working as a team with a flexible approach to delivering team goals </w:t>
            </w:r>
          </w:p>
        </w:tc>
        <w:tc>
          <w:tcPr>
            <w:tcW w:w="1130" w:type="dxa"/>
          </w:tcPr>
          <w:p w14:paraId="66B27AAB" w14:textId="57578165" w:rsidR="00A42C6E" w:rsidRPr="00B910CA" w:rsidRDefault="0075014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6818DA45" w14:textId="154018F2"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3F1F501" w14:textId="477A0021" w:rsidR="00A42C6E" w:rsidRPr="00790DBC" w:rsidRDefault="00790DB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790DBC">
              <w:rPr>
                <w:rFonts w:ascii="Arial" w:hAnsi="Arial" w:cs="Arial"/>
                <w:sz w:val="18"/>
                <w:szCs w:val="18"/>
                <w:u w:val="single"/>
              </w:rPr>
              <w:t>A,I</w:t>
            </w:r>
          </w:p>
        </w:tc>
      </w:tr>
      <w:tr w:rsidR="00873044" w:rsidRPr="00B910CA" w14:paraId="27E756DC"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3DA3D21D" w14:textId="32464579" w:rsidR="00873044" w:rsidRPr="00873044" w:rsidRDefault="00873044" w:rsidP="00165B99">
            <w:pPr>
              <w:rPr>
                <w:rFonts w:ascii="Arial" w:hAnsi="Arial" w:cs="Arial"/>
                <w:b w:val="0"/>
                <w:bCs w:val="0"/>
                <w:i/>
                <w:iCs/>
                <w:sz w:val="18"/>
                <w:szCs w:val="18"/>
              </w:rPr>
            </w:pPr>
            <w:r w:rsidRPr="00873044">
              <w:rPr>
                <w:rFonts w:ascii="Arial" w:hAnsi="Arial" w:cs="Arial"/>
                <w:b w:val="0"/>
                <w:bCs w:val="0"/>
                <w:i/>
                <w:iCs/>
                <w:sz w:val="18"/>
                <w:szCs w:val="18"/>
              </w:rPr>
              <w:t>Actively contribute to building team moral</w:t>
            </w:r>
          </w:p>
        </w:tc>
        <w:tc>
          <w:tcPr>
            <w:tcW w:w="1130" w:type="dxa"/>
          </w:tcPr>
          <w:p w14:paraId="50C08152" w14:textId="55C1FF02" w:rsidR="00873044" w:rsidRPr="00873044"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042DF804" w14:textId="77777777" w:rsidR="00873044" w:rsidRPr="00B910CA" w:rsidRDefault="0087304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72906108" w14:textId="3A96B19C" w:rsidR="00873044" w:rsidRPr="00790DBC" w:rsidRDefault="00790DBC"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790DBC">
              <w:rPr>
                <w:rFonts w:ascii="Arial" w:hAnsi="Arial" w:cs="Arial"/>
                <w:sz w:val="18"/>
                <w:szCs w:val="18"/>
                <w:u w:val="single"/>
              </w:rPr>
              <w:t>A,I</w:t>
            </w:r>
          </w:p>
        </w:tc>
      </w:tr>
      <w:tr w:rsidR="00E96199" w:rsidRPr="00B910CA" w14:paraId="7F748044"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598D01F" w14:textId="4661230F" w:rsidR="00E96199" w:rsidRPr="00873044" w:rsidRDefault="00E96199" w:rsidP="00E96199">
            <w:pPr>
              <w:rPr>
                <w:rFonts w:ascii="Arial" w:hAnsi="Arial" w:cs="Arial"/>
                <w:b w:val="0"/>
                <w:bCs w:val="0"/>
                <w:i/>
                <w:iCs/>
                <w:sz w:val="18"/>
                <w:szCs w:val="18"/>
              </w:rPr>
            </w:pPr>
            <w:r w:rsidRPr="00873044">
              <w:rPr>
                <w:rFonts w:ascii="Arial" w:hAnsi="Arial" w:cs="Arial"/>
                <w:b w:val="0"/>
                <w:bCs w:val="0"/>
                <w:i/>
                <w:iCs/>
                <w:sz w:val="18"/>
                <w:szCs w:val="18"/>
              </w:rPr>
              <w:t>Ability to work with other teams across the University and adapt advice, guidance and working methods accordingl</w:t>
            </w:r>
            <w:r>
              <w:rPr>
                <w:rFonts w:ascii="Arial" w:hAnsi="Arial" w:cs="Arial"/>
                <w:b w:val="0"/>
                <w:bCs w:val="0"/>
                <w:i/>
                <w:iCs/>
                <w:sz w:val="18"/>
                <w:szCs w:val="18"/>
              </w:rPr>
              <w:t>y</w:t>
            </w:r>
          </w:p>
        </w:tc>
        <w:tc>
          <w:tcPr>
            <w:tcW w:w="1130" w:type="dxa"/>
          </w:tcPr>
          <w:p w14:paraId="5274DD46" w14:textId="12C90F6A" w:rsidR="00E96199"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6859A01E" w14:textId="77777777"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516088FF" w14:textId="368BFD1F"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6DE5D499"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37C022F1" w14:textId="1325A939"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lastRenderedPageBreak/>
              <w:t>Ability to understand, summarise and convey complex information that needs careful explanation or interpretation, e.g. procedures relating to Tier 4 compliance requirements</w:t>
            </w:r>
          </w:p>
        </w:tc>
        <w:tc>
          <w:tcPr>
            <w:tcW w:w="1130" w:type="dxa"/>
          </w:tcPr>
          <w:p w14:paraId="6109580F" w14:textId="5BFE9B59" w:rsidR="00E96199"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3E840F7E" w14:textId="77777777"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6B5318A8" w14:textId="337A7165"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45AFC029"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D60E05B" w14:textId="5E7D839F"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Proactively working with others to achieve institutional objectives</w:t>
            </w:r>
          </w:p>
        </w:tc>
        <w:tc>
          <w:tcPr>
            <w:tcW w:w="1130" w:type="dxa"/>
          </w:tcPr>
          <w:p w14:paraId="088BFE2B" w14:textId="519A9B1E" w:rsidR="00E96199"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7DA27BE1" w14:textId="77777777"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5D7752C9" w14:textId="7B5CEF14"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5B1487A1"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6B7E1A0" w14:textId="15091F4F"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An understanding of equality issues within a diverse environment</w:t>
            </w:r>
          </w:p>
        </w:tc>
        <w:tc>
          <w:tcPr>
            <w:tcW w:w="1130" w:type="dxa"/>
          </w:tcPr>
          <w:p w14:paraId="37579696" w14:textId="333DBC6B" w:rsidR="00E96199"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3638BBB4" w14:textId="77777777"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985BF9C" w14:textId="374CC5BB"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16418795"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2552D28" w14:textId="639DA4FD"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Experience of establishing productive working relationships with a wide range of people to strengthen working relationships and systems</w:t>
            </w:r>
          </w:p>
        </w:tc>
        <w:tc>
          <w:tcPr>
            <w:tcW w:w="1130" w:type="dxa"/>
          </w:tcPr>
          <w:p w14:paraId="38B2247C" w14:textId="127AE334" w:rsidR="00E96199"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252E716E" w14:textId="77777777"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01C24E46" w14:textId="174A6D54"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57CA43C8"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1F2B2C16" w14:textId="423E48B5"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Participate in internal and external networks to benefit own area of wor</w:t>
            </w:r>
            <w:r>
              <w:rPr>
                <w:rFonts w:ascii="Arial" w:hAnsi="Arial" w:cs="Arial"/>
                <w:b w:val="0"/>
                <w:bCs w:val="0"/>
                <w:i/>
                <w:iCs/>
                <w:sz w:val="18"/>
                <w:szCs w:val="18"/>
              </w:rPr>
              <w:t>k</w:t>
            </w:r>
          </w:p>
        </w:tc>
        <w:tc>
          <w:tcPr>
            <w:tcW w:w="1130" w:type="dxa"/>
          </w:tcPr>
          <w:p w14:paraId="56470CC6" w14:textId="0F6AFEA9" w:rsidR="00E96199"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7EC1FE63" w14:textId="77777777"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734922D5" w14:textId="1D50F38E"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3B1B80D1"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C085D90" w14:textId="6265B88E"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Experience of delivering a high standard of service, providing customers with a positive experience, whilst ensuring attention to detail and accuracy in work</w:t>
            </w:r>
          </w:p>
        </w:tc>
        <w:tc>
          <w:tcPr>
            <w:tcW w:w="1130" w:type="dxa"/>
          </w:tcPr>
          <w:p w14:paraId="37FA22FF" w14:textId="16B858C9" w:rsidR="00E96199"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121D67A2" w14:textId="77777777"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0D1D60E9" w14:textId="459C3F5D"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51EB12ED"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0CE1E457" w14:textId="2B6BF005"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Experience of identifying and proposing solutions to new issues</w:t>
            </w:r>
          </w:p>
        </w:tc>
        <w:tc>
          <w:tcPr>
            <w:tcW w:w="1130" w:type="dxa"/>
          </w:tcPr>
          <w:p w14:paraId="51018ED5" w14:textId="3932E41F" w:rsidR="00E96199"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43D1682E" w14:textId="77777777"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53968EA4" w14:textId="1637B625" w:rsidR="00E96199" w:rsidRPr="00B910CA" w:rsidRDefault="00E96199" w:rsidP="00E961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07E0213E"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52DDAC91" w14:textId="082A7B70" w:rsidR="00E96199" w:rsidRPr="00E96199" w:rsidRDefault="00E96199" w:rsidP="00E96199">
            <w:pPr>
              <w:rPr>
                <w:rFonts w:ascii="Arial" w:hAnsi="Arial" w:cs="Arial"/>
                <w:b w:val="0"/>
                <w:bCs w:val="0"/>
                <w:i/>
                <w:iCs/>
                <w:sz w:val="18"/>
                <w:szCs w:val="18"/>
              </w:rPr>
            </w:pPr>
            <w:r w:rsidRPr="00E96199">
              <w:rPr>
                <w:rFonts w:ascii="Arial" w:hAnsi="Arial" w:cs="Arial"/>
                <w:b w:val="0"/>
                <w:bCs w:val="0"/>
                <w:i/>
                <w:iCs/>
                <w:sz w:val="18"/>
                <w:szCs w:val="18"/>
              </w:rPr>
              <w:t>Experience of exploring and seeking ways to improve and adjust levels and quality of service</w:t>
            </w:r>
          </w:p>
        </w:tc>
        <w:tc>
          <w:tcPr>
            <w:tcW w:w="1130" w:type="dxa"/>
          </w:tcPr>
          <w:p w14:paraId="1D32178F" w14:textId="70664F94" w:rsidR="00E96199"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25BE9D78" w14:textId="77777777"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CABDA3D" w14:textId="7253575F" w:rsidR="00E96199" w:rsidRPr="00B910CA" w:rsidRDefault="00E96199" w:rsidP="00E9619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77777777" w:rsidR="00A42C6E" w:rsidRDefault="00A42C6E" w:rsidP="00165B99">
            <w:pPr>
              <w:rPr>
                <w:rFonts w:ascii="Arial" w:hAnsi="Arial" w:cs="Arial"/>
                <w:b w:val="0"/>
                <w:bCs w:val="0"/>
                <w:sz w:val="18"/>
                <w:szCs w:val="18"/>
              </w:rPr>
            </w:pPr>
          </w:p>
          <w:p w14:paraId="20F45024" w14:textId="7956F598" w:rsidR="00A42C6E" w:rsidRPr="005A5423" w:rsidRDefault="00A42C6E" w:rsidP="00165B99">
            <w:pPr>
              <w:rPr>
                <w:rFonts w:ascii="Arial" w:hAnsi="Arial" w:cs="Arial"/>
                <w:b w:val="0"/>
                <w:bCs w:val="0"/>
                <w:i/>
                <w:iCs/>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57B33E22" w14:textId="1818D35D"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2637C04" w14:textId="0B71561A"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53333293" w14:textId="77777777"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873044" w:rsidRPr="00B910CA" w14:paraId="7E638ABE" w14:textId="439B61F6"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4A431B01" w:rsidR="00A42C6E" w:rsidRPr="005A5423" w:rsidRDefault="00E96199" w:rsidP="00165B99">
            <w:pPr>
              <w:rPr>
                <w:rFonts w:ascii="Arial" w:hAnsi="Arial" w:cs="Arial"/>
                <w:b w:val="0"/>
                <w:bCs w:val="0"/>
                <w:i/>
                <w:iCs/>
                <w:sz w:val="18"/>
                <w:szCs w:val="18"/>
              </w:rPr>
            </w:pPr>
            <w:r w:rsidRPr="00E96199">
              <w:rPr>
                <w:rFonts w:ascii="Arial" w:hAnsi="Arial" w:cs="Arial"/>
                <w:b w:val="0"/>
                <w:bCs w:val="0"/>
                <w:i/>
                <w:iCs/>
                <w:sz w:val="18"/>
                <w:szCs w:val="18"/>
              </w:rPr>
              <w:t>Excellent attention to detail and the ability to maintain work of high quality</w:t>
            </w:r>
          </w:p>
        </w:tc>
        <w:tc>
          <w:tcPr>
            <w:tcW w:w="1130" w:type="dxa"/>
          </w:tcPr>
          <w:p w14:paraId="6C9BD6E5" w14:textId="74CAF29E" w:rsidR="00A42C6E" w:rsidRPr="00B910CA" w:rsidRDefault="0075014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96199">
              <w:rPr>
                <w:rFonts w:ascii="Arial" w:hAnsi="Arial" w:cs="Arial"/>
                <w:b/>
                <w:bCs/>
                <w:sz w:val="18"/>
                <w:szCs w:val="18"/>
                <w:highlight w:val="yellow"/>
                <w:u w:val="single"/>
              </w:rPr>
              <w:t>X</w:t>
            </w:r>
          </w:p>
        </w:tc>
        <w:tc>
          <w:tcPr>
            <w:tcW w:w="1266" w:type="dxa"/>
          </w:tcPr>
          <w:p w14:paraId="31900D86" w14:textId="530BEF7C"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B09E00D" w14:textId="17B8C2BF" w:rsidR="00A42C6E" w:rsidRPr="00B910CA" w:rsidRDefault="00E9619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27D1FA69" w14:textId="77777777"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2BC54822" w14:textId="4D8EDF94" w:rsidR="00E96199" w:rsidRPr="00E96199" w:rsidRDefault="00E96199" w:rsidP="00165B99">
            <w:pPr>
              <w:rPr>
                <w:rFonts w:ascii="Arial" w:hAnsi="Arial" w:cs="Arial"/>
                <w:b w:val="0"/>
                <w:bCs w:val="0"/>
                <w:i/>
                <w:iCs/>
                <w:sz w:val="18"/>
                <w:szCs w:val="18"/>
              </w:rPr>
            </w:pPr>
            <w:r w:rsidRPr="00E96199">
              <w:rPr>
                <w:rFonts w:ascii="Arial" w:hAnsi="Arial" w:cs="Arial"/>
                <w:b w:val="0"/>
                <w:bCs w:val="0"/>
                <w:i/>
                <w:iCs/>
                <w:sz w:val="18"/>
                <w:szCs w:val="18"/>
              </w:rPr>
              <w:t>Willingness to work flexibly and additional hours during peak periods to meet business goals</w:t>
            </w:r>
          </w:p>
        </w:tc>
        <w:tc>
          <w:tcPr>
            <w:tcW w:w="1130" w:type="dxa"/>
          </w:tcPr>
          <w:p w14:paraId="4A6D1B9D" w14:textId="43416D50" w:rsidR="00E96199" w:rsidRPr="00E96199" w:rsidRDefault="00E9619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56C93904" w14:textId="77777777" w:rsidR="00E96199" w:rsidRPr="00B910CA" w:rsidRDefault="00E9619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09D2646" w14:textId="2613D8DA" w:rsidR="00E96199" w:rsidRPr="00B910CA" w:rsidRDefault="00E9619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r w:rsidR="00E96199" w:rsidRPr="00B910CA" w14:paraId="2706E6AA" w14:textId="77777777"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1514FAF0" w14:textId="28FE0D3B" w:rsidR="00E96199" w:rsidRPr="00E96199" w:rsidRDefault="00E96199" w:rsidP="00165B99">
            <w:pPr>
              <w:rPr>
                <w:rFonts w:ascii="Arial" w:hAnsi="Arial" w:cs="Arial"/>
                <w:b w:val="0"/>
                <w:bCs w:val="0"/>
                <w:i/>
                <w:iCs/>
                <w:sz w:val="18"/>
                <w:szCs w:val="18"/>
              </w:rPr>
            </w:pPr>
            <w:r w:rsidRPr="00E96199">
              <w:rPr>
                <w:rFonts w:ascii="Arial" w:hAnsi="Arial" w:cs="Arial"/>
                <w:b w:val="0"/>
                <w:bCs w:val="0"/>
                <w:i/>
                <w:iCs/>
                <w:sz w:val="18"/>
                <w:szCs w:val="18"/>
              </w:rPr>
              <w:t>Willingness to travel between University sites as required</w:t>
            </w:r>
          </w:p>
        </w:tc>
        <w:tc>
          <w:tcPr>
            <w:tcW w:w="1130" w:type="dxa"/>
          </w:tcPr>
          <w:p w14:paraId="60EB7B17" w14:textId="400B7B97" w:rsidR="00E96199" w:rsidRPr="00E96199" w:rsidRDefault="00E9619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highlight w:val="yellow"/>
                <w:u w:val="single"/>
              </w:rPr>
            </w:pPr>
            <w:r>
              <w:rPr>
                <w:rFonts w:ascii="Arial" w:hAnsi="Arial" w:cs="Arial"/>
                <w:b/>
                <w:bCs/>
                <w:sz w:val="18"/>
                <w:szCs w:val="18"/>
                <w:highlight w:val="yellow"/>
                <w:u w:val="single"/>
              </w:rPr>
              <w:t>X</w:t>
            </w:r>
          </w:p>
        </w:tc>
        <w:tc>
          <w:tcPr>
            <w:tcW w:w="1266" w:type="dxa"/>
          </w:tcPr>
          <w:p w14:paraId="44DDFA25" w14:textId="77777777" w:rsidR="00E96199" w:rsidRPr="00B910CA" w:rsidRDefault="00E9619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2D240A6" w14:textId="6272F743" w:rsidR="00E96199" w:rsidRPr="00B910CA" w:rsidRDefault="00E9619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A95D7E">
              <w:rPr>
                <w:rFonts w:ascii="Arial" w:hAnsi="Arial" w:cs="Arial"/>
                <w:sz w:val="18"/>
                <w:szCs w:val="18"/>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C42D" w14:textId="77777777" w:rsidR="00EB2854" w:rsidRDefault="00EB2854" w:rsidP="009962E4">
      <w:r>
        <w:separator/>
      </w:r>
    </w:p>
  </w:endnote>
  <w:endnote w:type="continuationSeparator" w:id="0">
    <w:p w14:paraId="68FF81B2" w14:textId="77777777" w:rsidR="00EB2854" w:rsidRDefault="00EB285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85E0" w14:textId="77777777" w:rsidR="00EB2854" w:rsidRDefault="00EB2854" w:rsidP="009962E4">
      <w:r>
        <w:separator/>
      </w:r>
    </w:p>
  </w:footnote>
  <w:footnote w:type="continuationSeparator" w:id="0">
    <w:p w14:paraId="6D7644E3" w14:textId="77777777" w:rsidR="00EB2854" w:rsidRDefault="00EB285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47F5"/>
    <w:multiLevelType w:val="hybridMultilevel"/>
    <w:tmpl w:val="9F42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C11935"/>
    <w:multiLevelType w:val="hybridMultilevel"/>
    <w:tmpl w:val="DC424D4E"/>
    <w:lvl w:ilvl="0" w:tplc="08090001">
      <w:start w:val="1"/>
      <w:numFmt w:val="bullet"/>
      <w:lvlText w:val=""/>
      <w:lvlJc w:val="left"/>
      <w:pPr>
        <w:ind w:left="720" w:hanging="360"/>
      </w:pPr>
      <w:rPr>
        <w:rFonts w:ascii="Symbol" w:hAnsi="Symbol" w:hint="default"/>
      </w:rPr>
    </w:lvl>
    <w:lvl w:ilvl="1" w:tplc="FEDA87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799149955">
    <w:abstractNumId w:val="12"/>
  </w:num>
  <w:num w:numId="20" w16cid:durableId="159693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0C90"/>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66BEC"/>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121C7"/>
    <w:rsid w:val="0021365C"/>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B6333"/>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5F6B8F"/>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0147"/>
    <w:rsid w:val="00752987"/>
    <w:rsid w:val="00753E7F"/>
    <w:rsid w:val="00754497"/>
    <w:rsid w:val="00760067"/>
    <w:rsid w:val="00762F96"/>
    <w:rsid w:val="007641C6"/>
    <w:rsid w:val="007650E7"/>
    <w:rsid w:val="007733C0"/>
    <w:rsid w:val="007741C1"/>
    <w:rsid w:val="00782065"/>
    <w:rsid w:val="007820EF"/>
    <w:rsid w:val="00790DBC"/>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044"/>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B6BB9"/>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722D"/>
    <w:rsid w:val="00A73C51"/>
    <w:rsid w:val="00A805B0"/>
    <w:rsid w:val="00A82486"/>
    <w:rsid w:val="00A9132F"/>
    <w:rsid w:val="00AA34E4"/>
    <w:rsid w:val="00AA37AF"/>
    <w:rsid w:val="00AA38A5"/>
    <w:rsid w:val="00AA63DF"/>
    <w:rsid w:val="00AB1769"/>
    <w:rsid w:val="00AB4210"/>
    <w:rsid w:val="00AB4F13"/>
    <w:rsid w:val="00AB77CB"/>
    <w:rsid w:val="00AC0B0F"/>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3F68"/>
    <w:rsid w:val="00CA5556"/>
    <w:rsid w:val="00CB0E55"/>
    <w:rsid w:val="00CB18A6"/>
    <w:rsid w:val="00CD3D5A"/>
    <w:rsid w:val="00CD72AD"/>
    <w:rsid w:val="00CE5A14"/>
    <w:rsid w:val="00CF5952"/>
    <w:rsid w:val="00D07AC6"/>
    <w:rsid w:val="00D10B98"/>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4E3C"/>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3428"/>
    <w:rsid w:val="00E509CB"/>
    <w:rsid w:val="00E618F5"/>
    <w:rsid w:val="00E63885"/>
    <w:rsid w:val="00E65C49"/>
    <w:rsid w:val="00E7084A"/>
    <w:rsid w:val="00E73090"/>
    <w:rsid w:val="00E756F2"/>
    <w:rsid w:val="00E845A5"/>
    <w:rsid w:val="00E96199"/>
    <w:rsid w:val="00EB2854"/>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20280512">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9635">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33629056">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32679975">
      <w:bodyDiv w:val="1"/>
      <w:marLeft w:val="0"/>
      <w:marRight w:val="0"/>
      <w:marTop w:val="0"/>
      <w:marBottom w:val="0"/>
      <w:divBdr>
        <w:top w:val="none" w:sz="0" w:space="0" w:color="auto"/>
        <w:left w:val="none" w:sz="0" w:space="0" w:color="auto"/>
        <w:bottom w:val="none" w:sz="0" w:space="0" w:color="auto"/>
        <w:right w:val="none" w:sz="0" w:space="0" w:color="auto"/>
      </w:divBdr>
    </w:div>
    <w:div w:id="1354727163">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92736321">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67346221">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2025-09-12T15:24:00Z</cp:lastPrinted>
  <dcterms:created xsi:type="dcterms:W3CDTF">2025-09-12T15:44:00Z</dcterms:created>
  <dcterms:modified xsi:type="dcterms:W3CDTF">2025-09-12T15:44:00Z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